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5C673A" w:rsidRPr="00347EA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5C673A" w:rsidRPr="00347EAA" w:rsidRDefault="002B5BC4" w:rsidP="00A00942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47EAA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1" name="Picture 2" descr="Description: 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5C673A" w:rsidRPr="00347EAA" w:rsidRDefault="005C673A" w:rsidP="00A00942">
            <w:pPr>
              <w:rPr>
                <w:rFonts w:ascii="Arial" w:hAnsi="Arial" w:cs="Arial"/>
                <w:sz w:val="20"/>
                <w:szCs w:val="20"/>
              </w:rPr>
            </w:pPr>
            <w:r w:rsidRPr="00347EAA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5C673A" w:rsidRPr="00347EAA" w:rsidRDefault="005C673A" w:rsidP="00A00942">
            <w:pPr>
              <w:rPr>
                <w:b/>
                <w:color w:val="808080"/>
              </w:rPr>
            </w:pPr>
          </w:p>
        </w:tc>
      </w:tr>
      <w:tr w:rsidR="005C673A" w:rsidRPr="00347EAA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5C673A" w:rsidRPr="00347EAA" w:rsidRDefault="005C673A" w:rsidP="00A00942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C673A" w:rsidRPr="00347EAA" w:rsidRDefault="005C673A" w:rsidP="00A00942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5C673A" w:rsidRPr="00347EAA" w:rsidRDefault="005C673A" w:rsidP="00A00942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347EAA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5C673A" w:rsidRPr="00347EAA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673A" w:rsidRPr="00347EAA" w:rsidRDefault="005C673A" w:rsidP="00A00942">
            <w:pPr>
              <w:rPr>
                <w:color w:val="808080"/>
                <w:sz w:val="20"/>
                <w:szCs w:val="20"/>
              </w:rPr>
            </w:pPr>
            <w:r w:rsidRPr="00347EAA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673A" w:rsidRPr="00347EAA" w:rsidRDefault="005C673A" w:rsidP="00A00942">
            <w:pPr>
              <w:jc w:val="right"/>
              <w:rPr>
                <w:b/>
                <w:color w:val="808080"/>
                <w:sz w:val="12"/>
              </w:rPr>
            </w:pPr>
            <w:r w:rsidRPr="00347EA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GR</w:t>
            </w:r>
            <w:r w:rsidR="0097391A" w:rsidRPr="00347EA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11</w:t>
            </w:r>
          </w:p>
        </w:tc>
      </w:tr>
      <w:tr w:rsidR="005C673A" w:rsidRPr="00347EAA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73A" w:rsidRPr="00347EAA" w:rsidRDefault="005C673A" w:rsidP="009E503E">
            <w:pPr>
              <w:rPr>
                <w:rFonts w:ascii="Arial" w:hAnsi="Arial" w:cs="Arial"/>
                <w:sz w:val="20"/>
                <w:szCs w:val="20"/>
              </w:rPr>
            </w:pPr>
            <w:r w:rsidRPr="00347EAA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9E503E" w:rsidRPr="00347EAA">
              <w:rPr>
                <w:rFonts w:ascii="Arial" w:hAnsi="Arial" w:cs="Arial"/>
                <w:sz w:val="20"/>
                <w:szCs w:val="20"/>
              </w:rPr>
              <w:t>302</w:t>
            </w:r>
            <w:r w:rsidRPr="00347EAA">
              <w:rPr>
                <w:rFonts w:ascii="Arial" w:hAnsi="Arial" w:cs="Arial"/>
                <w:sz w:val="20"/>
                <w:szCs w:val="20"/>
              </w:rPr>
              <w:t xml:space="preserve"> – Year LX</w:t>
            </w:r>
            <w:r w:rsidR="00191D6A" w:rsidRPr="00347EAA">
              <w:rPr>
                <w:rFonts w:ascii="Arial" w:hAnsi="Arial" w:cs="Arial"/>
                <w:sz w:val="20"/>
                <w:szCs w:val="20"/>
              </w:rPr>
              <w:t>V</w:t>
            </w:r>
            <w:r w:rsidR="00FE33CD" w:rsidRPr="00347EAA">
              <w:rPr>
                <w:rFonts w:ascii="Arial" w:hAnsi="Arial" w:cs="Arial"/>
                <w:sz w:val="20"/>
                <w:szCs w:val="20"/>
              </w:rPr>
              <w:t>I</w:t>
            </w:r>
            <w:r w:rsidR="00515E76" w:rsidRPr="00347EAA">
              <w:rPr>
                <w:rFonts w:ascii="Arial" w:hAnsi="Arial" w:cs="Arial"/>
                <w:sz w:val="20"/>
                <w:szCs w:val="20"/>
              </w:rPr>
              <w:t>I</w:t>
            </w:r>
            <w:r w:rsidR="00D85D2F" w:rsidRPr="00347EAA">
              <w:rPr>
                <w:rFonts w:ascii="Arial" w:hAnsi="Arial" w:cs="Arial"/>
                <w:sz w:val="20"/>
                <w:szCs w:val="20"/>
              </w:rPr>
              <w:t>I</w:t>
            </w:r>
            <w:r w:rsidRPr="00347E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503E" w:rsidRPr="00347EAA">
              <w:rPr>
                <w:rFonts w:ascii="Arial" w:hAnsi="Arial" w:cs="Arial"/>
                <w:sz w:val="20"/>
                <w:szCs w:val="20"/>
              </w:rPr>
              <w:t>09</w:t>
            </w:r>
            <w:r w:rsidRPr="00347EAA">
              <w:rPr>
                <w:rFonts w:ascii="Arial" w:hAnsi="Arial" w:cs="Arial"/>
                <w:sz w:val="20"/>
                <w:szCs w:val="20"/>
              </w:rPr>
              <w:t>/</w:t>
            </w:r>
            <w:r w:rsidR="009E503E" w:rsidRPr="00347EAA">
              <w:rPr>
                <w:rFonts w:ascii="Arial" w:hAnsi="Arial" w:cs="Arial"/>
                <w:sz w:val="20"/>
                <w:szCs w:val="20"/>
              </w:rPr>
              <w:t>11</w:t>
            </w:r>
            <w:r w:rsidRPr="00347EAA">
              <w:rPr>
                <w:rFonts w:ascii="Arial" w:hAnsi="Arial" w:cs="Arial"/>
                <w:sz w:val="20"/>
                <w:szCs w:val="20"/>
              </w:rPr>
              <w:t>/</w:t>
            </w:r>
            <w:r w:rsidR="00733E33" w:rsidRPr="00347EAA">
              <w:rPr>
                <w:rFonts w:ascii="Arial" w:hAnsi="Arial" w:cs="Arial"/>
                <w:sz w:val="20"/>
                <w:szCs w:val="20"/>
              </w:rPr>
              <w:t>201</w:t>
            </w:r>
            <w:r w:rsidR="00FE33CD" w:rsidRPr="00347E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C673A" w:rsidRPr="00347EAA" w:rsidRDefault="005C673A" w:rsidP="00A0094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5C673A" w:rsidRPr="00347EAA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5C673A" w:rsidRPr="00347EAA" w:rsidRDefault="005C673A" w:rsidP="00A00942">
            <w:pPr>
              <w:rPr>
                <w:b/>
                <w:bCs/>
              </w:rPr>
            </w:pPr>
            <w:r w:rsidRPr="00347EAA">
              <w:rPr>
                <w:rFonts w:ascii="Arial" w:hAnsi="Arial" w:cs="Arial"/>
                <w:b/>
              </w:rPr>
              <w:t>Construction Statistics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3A" w:rsidRPr="00347EAA" w:rsidRDefault="005C673A" w:rsidP="009E503E">
            <w:pPr>
              <w:pStyle w:val="Heading6"/>
              <w:jc w:val="right"/>
              <w:rPr>
                <w:b w:val="0"/>
                <w:noProof w:val="0"/>
                <w:lang w:val="en-GB"/>
              </w:rPr>
            </w:pPr>
            <w:r w:rsidRPr="00347EAA">
              <w:rPr>
                <w:b w:val="0"/>
                <w:noProof w:val="0"/>
                <w:sz w:val="20"/>
                <w:lang w:val="en-GB"/>
              </w:rPr>
              <w:t>SERB</w:t>
            </w:r>
            <w:r w:rsidR="009E503E" w:rsidRPr="00347EAA">
              <w:rPr>
                <w:b w:val="0"/>
                <w:noProof w:val="0"/>
                <w:sz w:val="20"/>
                <w:lang w:val="en-GB"/>
              </w:rPr>
              <w:t>302</w:t>
            </w:r>
            <w:r w:rsidRPr="00347EAA">
              <w:rPr>
                <w:b w:val="0"/>
                <w:noProof w:val="0"/>
                <w:sz w:val="20"/>
                <w:lang w:val="en-GB"/>
              </w:rPr>
              <w:t xml:space="preserve"> GR</w:t>
            </w:r>
            <w:r w:rsidR="0097391A" w:rsidRPr="00347EAA">
              <w:rPr>
                <w:b w:val="0"/>
                <w:noProof w:val="0"/>
                <w:sz w:val="20"/>
                <w:lang w:val="en-GB"/>
              </w:rPr>
              <w:t>11</w:t>
            </w:r>
            <w:r w:rsidR="009E503E" w:rsidRPr="00347EAA">
              <w:rPr>
                <w:b w:val="0"/>
                <w:noProof w:val="0"/>
                <w:sz w:val="20"/>
                <w:lang w:val="en-GB"/>
              </w:rPr>
              <w:t>091118</w:t>
            </w:r>
          </w:p>
        </w:tc>
      </w:tr>
      <w:tr w:rsidR="005C673A" w:rsidRPr="00347EAA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5C673A" w:rsidRPr="00347EAA" w:rsidRDefault="005C673A" w:rsidP="00A00942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5C673A" w:rsidRPr="00347EAA" w:rsidRDefault="005C673A" w:rsidP="00A00942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  <w:tr w:rsidR="005C673A" w:rsidRPr="00347EAA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5C673A" w:rsidRPr="00347EAA" w:rsidRDefault="005C673A" w:rsidP="00A00942">
            <w:pPr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5C673A" w:rsidRPr="00347EAA" w:rsidRDefault="005C673A" w:rsidP="00A00942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C41CAE" w:rsidRPr="00347EAA" w:rsidRDefault="00C41CAE" w:rsidP="00C41CA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1CAE" w:rsidRDefault="00C41CAE" w:rsidP="00C41CA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26D2" w:rsidRPr="00347EAA" w:rsidRDefault="009026D2" w:rsidP="00C41CA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7391A" w:rsidRPr="006848B4" w:rsidRDefault="0097391A" w:rsidP="00C41CAE">
      <w:pPr>
        <w:spacing w:before="120"/>
        <w:jc w:val="center"/>
        <w:rPr>
          <w:rFonts w:ascii="Arial" w:hAnsi="Arial" w:cs="Arial"/>
          <w:b/>
          <w:bCs/>
        </w:rPr>
      </w:pPr>
      <w:r w:rsidRPr="006848B4">
        <w:rPr>
          <w:rFonts w:ascii="Arial" w:hAnsi="Arial" w:cs="Arial"/>
          <w:b/>
          <w:bCs/>
        </w:rPr>
        <w:t>Construction activity,</w:t>
      </w:r>
    </w:p>
    <w:p w:rsidR="0097391A" w:rsidRPr="006848B4" w:rsidRDefault="00C57BC6" w:rsidP="0097391A">
      <w:pPr>
        <w:jc w:val="center"/>
        <w:rPr>
          <w:rFonts w:ascii="Arial" w:hAnsi="Arial" w:cs="Arial"/>
          <w:b/>
          <w:bCs/>
        </w:rPr>
      </w:pPr>
      <w:r w:rsidRPr="006848B4">
        <w:rPr>
          <w:rFonts w:ascii="Arial" w:hAnsi="Arial" w:cs="Arial"/>
          <w:b/>
          <w:bCs/>
        </w:rPr>
        <w:t>I</w:t>
      </w:r>
      <w:r w:rsidR="008509C3" w:rsidRPr="006848B4">
        <w:rPr>
          <w:rFonts w:ascii="Arial" w:hAnsi="Arial" w:cs="Arial"/>
          <w:b/>
          <w:bCs/>
        </w:rPr>
        <w:t>I</w:t>
      </w:r>
      <w:r w:rsidR="00BF36A6" w:rsidRPr="006848B4">
        <w:rPr>
          <w:rFonts w:ascii="Arial" w:hAnsi="Arial" w:cs="Arial"/>
          <w:b/>
          <w:bCs/>
        </w:rPr>
        <w:t>I</w:t>
      </w:r>
      <w:r w:rsidR="0097391A" w:rsidRPr="006848B4">
        <w:rPr>
          <w:rFonts w:ascii="Arial" w:hAnsi="Arial" w:cs="Arial"/>
          <w:b/>
          <w:bCs/>
        </w:rPr>
        <w:t xml:space="preserve"> quarter of 201</w:t>
      </w:r>
      <w:r w:rsidR="00E31669" w:rsidRPr="006848B4">
        <w:rPr>
          <w:rFonts w:ascii="Arial" w:hAnsi="Arial" w:cs="Arial"/>
          <w:b/>
          <w:bCs/>
        </w:rPr>
        <w:t>8</w:t>
      </w:r>
    </w:p>
    <w:p w:rsidR="0097391A" w:rsidRPr="006848B4" w:rsidRDefault="0097391A" w:rsidP="004D1CCB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6848B4">
        <w:rPr>
          <w:rFonts w:ascii="Arial" w:hAnsi="Arial" w:cs="Arial"/>
          <w:b/>
          <w:bCs/>
          <w:sz w:val="22"/>
          <w:szCs w:val="22"/>
        </w:rPr>
        <w:t>– Preliminary results –</w:t>
      </w:r>
    </w:p>
    <w:p w:rsidR="0097391A" w:rsidRPr="006848B4" w:rsidRDefault="0097391A" w:rsidP="0097391A">
      <w:pPr>
        <w:jc w:val="center"/>
        <w:rPr>
          <w:rFonts w:ascii="Arial" w:hAnsi="Arial" w:cs="Arial"/>
        </w:rPr>
      </w:pPr>
    </w:p>
    <w:p w:rsidR="00C41CAE" w:rsidRPr="006848B4" w:rsidRDefault="00C41CAE" w:rsidP="0097391A">
      <w:pPr>
        <w:jc w:val="center"/>
        <w:rPr>
          <w:rFonts w:ascii="Arial" w:hAnsi="Arial" w:cs="Arial"/>
        </w:rPr>
      </w:pPr>
    </w:p>
    <w:p w:rsidR="0097391A" w:rsidRPr="006848B4" w:rsidRDefault="0097391A" w:rsidP="00885C7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848B4">
        <w:rPr>
          <w:rFonts w:ascii="Arial" w:hAnsi="Arial" w:cs="Arial"/>
          <w:sz w:val="20"/>
          <w:szCs w:val="20"/>
        </w:rPr>
        <w:t xml:space="preserve">According to the data collected in the </w:t>
      </w:r>
      <w:r w:rsidR="008509C3" w:rsidRPr="006848B4">
        <w:rPr>
          <w:rFonts w:ascii="Arial" w:hAnsi="Arial" w:cs="Arial"/>
          <w:sz w:val="20"/>
          <w:szCs w:val="20"/>
        </w:rPr>
        <w:t>thir</w:t>
      </w:r>
      <w:r w:rsidR="00BF36A6" w:rsidRPr="006848B4">
        <w:rPr>
          <w:rFonts w:ascii="Arial" w:hAnsi="Arial" w:cs="Arial"/>
          <w:sz w:val="20"/>
          <w:szCs w:val="20"/>
        </w:rPr>
        <w:t>d</w:t>
      </w:r>
      <w:r w:rsidR="00FD726D" w:rsidRPr="006848B4">
        <w:rPr>
          <w:rFonts w:ascii="Arial" w:hAnsi="Arial" w:cs="Arial"/>
          <w:sz w:val="20"/>
          <w:szCs w:val="20"/>
        </w:rPr>
        <w:t xml:space="preserve"> quarter of 201</w:t>
      </w:r>
      <w:r w:rsidR="00E31669" w:rsidRPr="006848B4">
        <w:rPr>
          <w:rFonts w:ascii="Arial" w:hAnsi="Arial" w:cs="Arial"/>
          <w:sz w:val="20"/>
          <w:szCs w:val="20"/>
        </w:rPr>
        <w:t>8</w:t>
      </w:r>
      <w:r w:rsidRPr="006848B4">
        <w:rPr>
          <w:rFonts w:ascii="Arial" w:hAnsi="Arial" w:cs="Arial"/>
          <w:sz w:val="20"/>
          <w:szCs w:val="20"/>
        </w:rPr>
        <w:t xml:space="preserve">, value of construction works done </w:t>
      </w:r>
      <w:r w:rsidR="007E3EBF" w:rsidRPr="006848B4">
        <w:rPr>
          <w:rFonts w:ascii="Arial" w:hAnsi="Arial" w:cs="Arial"/>
          <w:sz w:val="20"/>
          <w:szCs w:val="20"/>
        </w:rPr>
        <w:t xml:space="preserve">on the territory of the Republic of </w:t>
      </w:r>
      <w:proofErr w:type="spellStart"/>
      <w:r w:rsidR="007E3EBF" w:rsidRPr="006848B4">
        <w:rPr>
          <w:rFonts w:ascii="Arial" w:hAnsi="Arial" w:cs="Arial"/>
          <w:sz w:val="20"/>
          <w:szCs w:val="20"/>
        </w:rPr>
        <w:t>Serbia</w:t>
      </w:r>
      <w:r w:rsidR="00885C78" w:rsidRPr="006848B4">
        <w:rPr>
          <w:rFonts w:ascii="Arial" w:hAnsi="Arial" w:cs="Arial"/>
          <w:sz w:val="20"/>
          <w:szCs w:val="20"/>
        </w:rPr>
        <w:t>in</w:t>
      </w:r>
      <w:r w:rsidRPr="006848B4">
        <w:rPr>
          <w:rFonts w:ascii="Arial" w:hAnsi="Arial" w:cs="Arial"/>
          <w:sz w:val="20"/>
          <w:szCs w:val="20"/>
        </w:rPr>
        <w:t>creased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by </w:t>
      </w:r>
      <w:r w:rsidR="008509C3" w:rsidRPr="006848B4">
        <w:rPr>
          <w:rFonts w:ascii="Arial" w:hAnsi="Arial" w:cs="Arial"/>
          <w:sz w:val="20"/>
          <w:szCs w:val="20"/>
        </w:rPr>
        <w:t>12</w:t>
      </w:r>
      <w:r w:rsidR="00885C78" w:rsidRPr="006848B4">
        <w:rPr>
          <w:rFonts w:ascii="Arial" w:hAnsi="Arial" w:cs="Arial"/>
          <w:sz w:val="20"/>
          <w:szCs w:val="20"/>
        </w:rPr>
        <w:t>.</w:t>
      </w:r>
      <w:r w:rsidR="008509C3" w:rsidRPr="006848B4">
        <w:rPr>
          <w:rFonts w:ascii="Arial" w:hAnsi="Arial" w:cs="Arial"/>
          <w:sz w:val="20"/>
          <w:szCs w:val="20"/>
        </w:rPr>
        <w:t>0</w:t>
      </w:r>
      <w:r w:rsidRPr="006848B4">
        <w:rPr>
          <w:rFonts w:ascii="Arial" w:hAnsi="Arial" w:cs="Arial"/>
          <w:sz w:val="20"/>
          <w:szCs w:val="20"/>
        </w:rPr>
        <w:t xml:space="preserve">% at current prices, </w:t>
      </w:r>
      <w:r w:rsidR="008509C3" w:rsidRPr="006848B4">
        <w:rPr>
          <w:rFonts w:ascii="Arial" w:hAnsi="Arial" w:cs="Arial"/>
          <w:sz w:val="20"/>
          <w:szCs w:val="20"/>
        </w:rPr>
        <w:t xml:space="preserve">while at constant prices, the increase amounted to 7.0% </w:t>
      </w:r>
      <w:r w:rsidRPr="006848B4">
        <w:rPr>
          <w:rFonts w:ascii="Arial" w:hAnsi="Arial" w:cs="Arial"/>
          <w:sz w:val="20"/>
          <w:szCs w:val="20"/>
        </w:rPr>
        <w:t xml:space="preserve">relative to the </w:t>
      </w:r>
      <w:r w:rsidR="008509C3" w:rsidRPr="006848B4">
        <w:rPr>
          <w:rFonts w:ascii="Arial" w:hAnsi="Arial" w:cs="Arial"/>
          <w:sz w:val="20"/>
          <w:szCs w:val="20"/>
        </w:rPr>
        <w:t>third quarter</w:t>
      </w:r>
      <w:r w:rsidRPr="006848B4">
        <w:rPr>
          <w:rFonts w:ascii="Arial" w:hAnsi="Arial" w:cs="Arial"/>
          <w:sz w:val="20"/>
          <w:szCs w:val="20"/>
        </w:rPr>
        <w:t xml:space="preserve"> of 20</w:t>
      </w:r>
      <w:r w:rsidR="00FD726D" w:rsidRPr="006848B4">
        <w:rPr>
          <w:rFonts w:ascii="Arial" w:hAnsi="Arial" w:cs="Arial"/>
          <w:sz w:val="20"/>
          <w:szCs w:val="20"/>
        </w:rPr>
        <w:t>1</w:t>
      </w:r>
      <w:r w:rsidR="00E31669" w:rsidRPr="006848B4">
        <w:rPr>
          <w:rFonts w:ascii="Arial" w:hAnsi="Arial" w:cs="Arial"/>
          <w:sz w:val="20"/>
          <w:szCs w:val="20"/>
        </w:rPr>
        <w:t>7</w:t>
      </w:r>
      <w:r w:rsidRPr="006848B4">
        <w:rPr>
          <w:rFonts w:ascii="Arial" w:hAnsi="Arial" w:cs="Arial"/>
          <w:sz w:val="20"/>
          <w:szCs w:val="20"/>
        </w:rPr>
        <w:t xml:space="preserve">. </w:t>
      </w:r>
    </w:p>
    <w:p w:rsidR="00BF36A6" w:rsidRPr="006848B4" w:rsidRDefault="00BF36A6" w:rsidP="00BF36A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848B4">
        <w:rPr>
          <w:rFonts w:ascii="Arial" w:hAnsi="Arial" w:cs="Arial"/>
          <w:sz w:val="20"/>
          <w:szCs w:val="20"/>
        </w:rPr>
        <w:t xml:space="preserve">Observed by regions in the Republic of Serbia, in the </w:t>
      </w:r>
      <w:r w:rsidR="008509C3" w:rsidRPr="006848B4">
        <w:rPr>
          <w:rFonts w:ascii="Arial" w:hAnsi="Arial" w:cs="Arial"/>
          <w:sz w:val="20"/>
          <w:szCs w:val="20"/>
        </w:rPr>
        <w:t>third</w:t>
      </w:r>
      <w:r w:rsidRPr="006848B4">
        <w:rPr>
          <w:rFonts w:ascii="Arial" w:hAnsi="Arial" w:cs="Arial"/>
          <w:sz w:val="20"/>
          <w:szCs w:val="20"/>
        </w:rPr>
        <w:t xml:space="preserve"> quarter 2018, the value of construction works done, at constant prices, noted the greatest increase in Region </w:t>
      </w:r>
      <w:proofErr w:type="spellStart"/>
      <w:r w:rsidRPr="006848B4">
        <w:rPr>
          <w:rFonts w:ascii="Arial" w:hAnsi="Arial" w:cs="Arial"/>
          <w:sz w:val="20"/>
          <w:szCs w:val="20"/>
        </w:rPr>
        <w:t>Vojvodine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</w:t>
      </w:r>
      <w:r w:rsidR="005E101D">
        <w:rPr>
          <w:rFonts w:ascii="Arial" w:hAnsi="Arial" w:cs="Arial"/>
          <w:sz w:val="20"/>
          <w:szCs w:val="20"/>
        </w:rPr>
        <w:t>(</w:t>
      </w:r>
      <w:r w:rsidR="008509C3" w:rsidRPr="006848B4">
        <w:rPr>
          <w:rFonts w:ascii="Arial" w:hAnsi="Arial" w:cs="Arial"/>
          <w:sz w:val="20"/>
          <w:szCs w:val="20"/>
        </w:rPr>
        <w:t>32</w:t>
      </w:r>
      <w:r w:rsidRPr="006848B4">
        <w:rPr>
          <w:rFonts w:ascii="Arial" w:hAnsi="Arial" w:cs="Arial"/>
          <w:sz w:val="20"/>
          <w:szCs w:val="20"/>
        </w:rPr>
        <w:t>.</w:t>
      </w:r>
      <w:r w:rsidR="008509C3" w:rsidRPr="006848B4">
        <w:rPr>
          <w:rFonts w:ascii="Arial" w:hAnsi="Arial" w:cs="Arial"/>
          <w:sz w:val="20"/>
          <w:szCs w:val="20"/>
        </w:rPr>
        <w:t>4</w:t>
      </w:r>
      <w:r w:rsidRPr="006848B4">
        <w:rPr>
          <w:rFonts w:ascii="Arial" w:hAnsi="Arial" w:cs="Arial"/>
          <w:sz w:val="20"/>
          <w:szCs w:val="20"/>
        </w:rPr>
        <w:t>%</w:t>
      </w:r>
      <w:r w:rsidR="005E101D">
        <w:rPr>
          <w:rFonts w:ascii="Arial" w:hAnsi="Arial" w:cs="Arial"/>
          <w:sz w:val="20"/>
          <w:szCs w:val="20"/>
        </w:rPr>
        <w:t>)</w:t>
      </w:r>
      <w:r w:rsidRPr="006848B4">
        <w:rPr>
          <w:rFonts w:ascii="Arial" w:hAnsi="Arial" w:cs="Arial"/>
          <w:sz w:val="20"/>
          <w:szCs w:val="20"/>
        </w:rPr>
        <w:t xml:space="preserve">, followed by Region </w:t>
      </w:r>
      <w:proofErr w:type="spellStart"/>
      <w:r w:rsidRPr="006848B4">
        <w:rPr>
          <w:rFonts w:ascii="Arial" w:hAnsi="Arial" w:cs="Arial"/>
          <w:sz w:val="20"/>
          <w:szCs w:val="20"/>
        </w:rPr>
        <w:t>Južne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8B4">
        <w:rPr>
          <w:rFonts w:ascii="Arial" w:hAnsi="Arial" w:cs="Arial"/>
          <w:sz w:val="20"/>
          <w:szCs w:val="20"/>
        </w:rPr>
        <w:t>i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8B4">
        <w:rPr>
          <w:rFonts w:ascii="Arial" w:hAnsi="Arial" w:cs="Arial"/>
          <w:sz w:val="20"/>
          <w:szCs w:val="20"/>
        </w:rPr>
        <w:t>Istočne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8B4">
        <w:rPr>
          <w:rFonts w:ascii="Arial" w:hAnsi="Arial" w:cs="Arial"/>
          <w:sz w:val="20"/>
          <w:szCs w:val="20"/>
        </w:rPr>
        <w:t>Srbije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</w:t>
      </w:r>
      <w:r w:rsidR="005E101D">
        <w:rPr>
          <w:rFonts w:ascii="Arial" w:hAnsi="Arial" w:cs="Arial"/>
          <w:sz w:val="20"/>
          <w:szCs w:val="20"/>
        </w:rPr>
        <w:t>(</w:t>
      </w:r>
      <w:r w:rsidR="008509C3" w:rsidRPr="006848B4">
        <w:rPr>
          <w:rFonts w:ascii="Arial" w:hAnsi="Arial" w:cs="Arial"/>
          <w:sz w:val="20"/>
          <w:szCs w:val="20"/>
        </w:rPr>
        <w:t>1</w:t>
      </w:r>
      <w:r w:rsidR="00763E11" w:rsidRPr="006848B4">
        <w:rPr>
          <w:rFonts w:ascii="Arial" w:hAnsi="Arial" w:cs="Arial"/>
          <w:sz w:val="20"/>
          <w:szCs w:val="20"/>
        </w:rPr>
        <w:t>3</w:t>
      </w:r>
      <w:r w:rsidRPr="006848B4">
        <w:rPr>
          <w:rFonts w:ascii="Arial" w:hAnsi="Arial" w:cs="Arial"/>
          <w:sz w:val="20"/>
          <w:szCs w:val="20"/>
        </w:rPr>
        <w:t>.</w:t>
      </w:r>
      <w:r w:rsidR="008509C3" w:rsidRPr="006848B4">
        <w:rPr>
          <w:rFonts w:ascii="Arial" w:hAnsi="Arial" w:cs="Arial"/>
          <w:sz w:val="20"/>
          <w:szCs w:val="20"/>
        </w:rPr>
        <w:t>5</w:t>
      </w:r>
      <w:r w:rsidRPr="006848B4">
        <w:rPr>
          <w:rFonts w:ascii="Arial" w:hAnsi="Arial" w:cs="Arial"/>
          <w:sz w:val="20"/>
          <w:szCs w:val="20"/>
        </w:rPr>
        <w:t>%</w:t>
      </w:r>
      <w:r w:rsidR="005E101D">
        <w:rPr>
          <w:rFonts w:ascii="Arial" w:hAnsi="Arial" w:cs="Arial"/>
          <w:sz w:val="20"/>
          <w:szCs w:val="20"/>
        </w:rPr>
        <w:t>)</w:t>
      </w:r>
      <w:r w:rsidR="008509C3" w:rsidRPr="006848B4">
        <w:rPr>
          <w:rFonts w:ascii="Arial" w:hAnsi="Arial" w:cs="Arial"/>
          <w:sz w:val="20"/>
          <w:szCs w:val="20"/>
        </w:rPr>
        <w:t xml:space="preserve"> and in</w:t>
      </w:r>
      <w:r w:rsidRPr="006848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8B4">
        <w:rPr>
          <w:rFonts w:ascii="Arial" w:hAnsi="Arial" w:cs="Arial"/>
          <w:sz w:val="20"/>
          <w:szCs w:val="20"/>
        </w:rPr>
        <w:t>Beogradski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region </w:t>
      </w:r>
      <w:r w:rsidR="005E101D">
        <w:rPr>
          <w:rFonts w:ascii="Arial" w:hAnsi="Arial" w:cs="Arial"/>
          <w:sz w:val="20"/>
          <w:szCs w:val="20"/>
        </w:rPr>
        <w:t>(</w:t>
      </w:r>
      <w:r w:rsidR="008509C3" w:rsidRPr="006848B4">
        <w:rPr>
          <w:rFonts w:ascii="Arial" w:hAnsi="Arial" w:cs="Arial"/>
          <w:sz w:val="20"/>
          <w:szCs w:val="20"/>
        </w:rPr>
        <w:t>3</w:t>
      </w:r>
      <w:r w:rsidRPr="006848B4">
        <w:rPr>
          <w:rFonts w:ascii="Arial" w:hAnsi="Arial" w:cs="Arial"/>
          <w:sz w:val="20"/>
          <w:szCs w:val="20"/>
        </w:rPr>
        <w:t>.</w:t>
      </w:r>
      <w:r w:rsidR="008509C3" w:rsidRPr="006848B4">
        <w:rPr>
          <w:rFonts w:ascii="Arial" w:hAnsi="Arial" w:cs="Arial"/>
          <w:sz w:val="20"/>
          <w:szCs w:val="20"/>
        </w:rPr>
        <w:t>7</w:t>
      </w:r>
      <w:r w:rsidRPr="006848B4">
        <w:rPr>
          <w:rFonts w:ascii="Arial" w:hAnsi="Arial" w:cs="Arial"/>
          <w:sz w:val="20"/>
          <w:szCs w:val="20"/>
        </w:rPr>
        <w:t>%</w:t>
      </w:r>
      <w:r w:rsidR="005E101D">
        <w:rPr>
          <w:rFonts w:ascii="Arial" w:hAnsi="Arial" w:cs="Arial"/>
          <w:sz w:val="20"/>
          <w:szCs w:val="20"/>
        </w:rPr>
        <w:t>)</w:t>
      </w:r>
      <w:r w:rsidR="008509C3" w:rsidRPr="006848B4">
        <w:rPr>
          <w:rFonts w:ascii="Arial" w:hAnsi="Arial" w:cs="Arial"/>
          <w:sz w:val="20"/>
          <w:szCs w:val="20"/>
        </w:rPr>
        <w:t>.</w:t>
      </w:r>
      <w:r w:rsidR="006A7461">
        <w:rPr>
          <w:rFonts w:ascii="Arial" w:hAnsi="Arial" w:cs="Arial"/>
          <w:sz w:val="20"/>
          <w:szCs w:val="20"/>
        </w:rPr>
        <w:t xml:space="preserve"> </w:t>
      </w:r>
      <w:r w:rsidR="008509C3" w:rsidRPr="006848B4">
        <w:rPr>
          <w:rFonts w:ascii="Arial" w:hAnsi="Arial" w:cs="Arial"/>
          <w:sz w:val="20"/>
          <w:szCs w:val="20"/>
        </w:rPr>
        <w:t>I</w:t>
      </w:r>
      <w:r w:rsidRPr="006848B4">
        <w:rPr>
          <w:rFonts w:ascii="Arial" w:hAnsi="Arial" w:cs="Arial"/>
          <w:sz w:val="20"/>
          <w:szCs w:val="20"/>
        </w:rPr>
        <w:t xml:space="preserve">n Region </w:t>
      </w:r>
      <w:proofErr w:type="spellStart"/>
      <w:r w:rsidRPr="006848B4">
        <w:rPr>
          <w:rFonts w:ascii="Arial" w:hAnsi="Arial" w:cs="Arial"/>
          <w:sz w:val="20"/>
          <w:szCs w:val="20"/>
        </w:rPr>
        <w:t>Šumadije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8B4">
        <w:rPr>
          <w:rFonts w:ascii="Arial" w:hAnsi="Arial" w:cs="Arial"/>
          <w:sz w:val="20"/>
          <w:szCs w:val="20"/>
        </w:rPr>
        <w:t>i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8B4">
        <w:rPr>
          <w:rFonts w:ascii="Arial" w:hAnsi="Arial" w:cs="Arial"/>
          <w:sz w:val="20"/>
          <w:szCs w:val="20"/>
        </w:rPr>
        <w:t>Zapadne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8B4">
        <w:rPr>
          <w:rFonts w:ascii="Arial" w:hAnsi="Arial" w:cs="Arial"/>
          <w:sz w:val="20"/>
          <w:szCs w:val="20"/>
        </w:rPr>
        <w:t>Srbije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, the value of construction works done decreased by </w:t>
      </w:r>
      <w:r w:rsidR="008509C3" w:rsidRPr="006848B4">
        <w:rPr>
          <w:rFonts w:ascii="Arial" w:hAnsi="Arial" w:cs="Arial"/>
          <w:sz w:val="20"/>
          <w:szCs w:val="20"/>
        </w:rPr>
        <w:t>17</w:t>
      </w:r>
      <w:r w:rsidRPr="006848B4">
        <w:rPr>
          <w:rFonts w:ascii="Arial" w:hAnsi="Arial" w:cs="Arial"/>
          <w:sz w:val="20"/>
          <w:szCs w:val="20"/>
        </w:rPr>
        <w:t>.</w:t>
      </w:r>
      <w:r w:rsidR="008509C3" w:rsidRPr="006848B4">
        <w:rPr>
          <w:rFonts w:ascii="Arial" w:hAnsi="Arial" w:cs="Arial"/>
          <w:sz w:val="20"/>
          <w:szCs w:val="20"/>
        </w:rPr>
        <w:t>7</w:t>
      </w:r>
      <w:r w:rsidRPr="006848B4">
        <w:rPr>
          <w:rFonts w:ascii="Arial" w:hAnsi="Arial" w:cs="Arial"/>
          <w:sz w:val="20"/>
          <w:szCs w:val="20"/>
        </w:rPr>
        <w:t xml:space="preserve">%, relative to the same quarter of the previous year. </w:t>
      </w:r>
    </w:p>
    <w:p w:rsidR="0097391A" w:rsidRPr="006848B4" w:rsidRDefault="00CF20C5" w:rsidP="0097391A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6848B4">
        <w:rPr>
          <w:rFonts w:ascii="Arial" w:hAnsi="Arial" w:cs="Arial"/>
          <w:sz w:val="20"/>
          <w:szCs w:val="20"/>
        </w:rPr>
        <w:t xml:space="preserve">Value of works done on the territory of the Republic of </w:t>
      </w:r>
      <w:proofErr w:type="spellStart"/>
      <w:r w:rsidRPr="006848B4">
        <w:rPr>
          <w:rFonts w:ascii="Arial" w:hAnsi="Arial" w:cs="Arial"/>
          <w:sz w:val="20"/>
          <w:szCs w:val="20"/>
        </w:rPr>
        <w:t>Serbiaamounted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to </w:t>
      </w:r>
      <w:r w:rsidR="00E31669" w:rsidRPr="006848B4">
        <w:rPr>
          <w:rFonts w:ascii="Arial" w:hAnsi="Arial" w:cs="Arial"/>
          <w:sz w:val="20"/>
          <w:szCs w:val="20"/>
        </w:rPr>
        <w:t>9</w:t>
      </w:r>
      <w:r w:rsidR="008509C3" w:rsidRPr="006848B4">
        <w:rPr>
          <w:rFonts w:ascii="Arial" w:hAnsi="Arial" w:cs="Arial"/>
          <w:sz w:val="20"/>
          <w:szCs w:val="20"/>
        </w:rPr>
        <w:t>5</w:t>
      </w:r>
      <w:r w:rsidR="003A41E2" w:rsidRPr="006848B4">
        <w:rPr>
          <w:rFonts w:ascii="Arial" w:hAnsi="Arial" w:cs="Arial"/>
          <w:sz w:val="20"/>
          <w:szCs w:val="20"/>
        </w:rPr>
        <w:t>.</w:t>
      </w:r>
      <w:r w:rsidR="008509C3" w:rsidRPr="006848B4">
        <w:rPr>
          <w:rFonts w:ascii="Arial" w:hAnsi="Arial" w:cs="Arial"/>
          <w:sz w:val="20"/>
          <w:szCs w:val="20"/>
        </w:rPr>
        <w:t>7</w:t>
      </w:r>
      <w:r w:rsidRPr="006848B4">
        <w:rPr>
          <w:rFonts w:ascii="Arial" w:hAnsi="Arial" w:cs="Arial"/>
          <w:sz w:val="20"/>
          <w:szCs w:val="20"/>
        </w:rPr>
        <w:t>% out of</w:t>
      </w:r>
      <w:r w:rsidR="00B51124" w:rsidRPr="006848B4">
        <w:rPr>
          <w:rFonts w:ascii="Arial" w:hAnsi="Arial" w:cs="Arial"/>
          <w:sz w:val="20"/>
          <w:szCs w:val="20"/>
        </w:rPr>
        <w:t xml:space="preserve"> the</w:t>
      </w:r>
      <w:r w:rsidRPr="006848B4">
        <w:rPr>
          <w:rFonts w:ascii="Arial" w:hAnsi="Arial" w:cs="Arial"/>
          <w:sz w:val="20"/>
          <w:szCs w:val="20"/>
        </w:rPr>
        <w:t xml:space="preserve"> total value of works done in the </w:t>
      </w:r>
      <w:proofErr w:type="spellStart"/>
      <w:r w:rsidR="008509C3" w:rsidRPr="006848B4">
        <w:rPr>
          <w:rFonts w:ascii="Arial" w:hAnsi="Arial" w:cs="Arial"/>
          <w:sz w:val="20"/>
          <w:szCs w:val="20"/>
        </w:rPr>
        <w:t>third</w:t>
      </w:r>
      <w:r w:rsidRPr="006848B4">
        <w:rPr>
          <w:rFonts w:ascii="Arial" w:hAnsi="Arial" w:cs="Arial"/>
          <w:sz w:val="20"/>
          <w:szCs w:val="20"/>
        </w:rPr>
        <w:t>quarter</w:t>
      </w:r>
      <w:proofErr w:type="spellEnd"/>
      <w:r w:rsidRPr="006848B4">
        <w:rPr>
          <w:rFonts w:ascii="Arial" w:hAnsi="Arial" w:cs="Arial"/>
          <w:sz w:val="20"/>
          <w:szCs w:val="20"/>
        </w:rPr>
        <w:t xml:space="preserve"> of 201</w:t>
      </w:r>
      <w:r w:rsidR="00E31669" w:rsidRPr="006848B4">
        <w:rPr>
          <w:rFonts w:ascii="Arial" w:hAnsi="Arial" w:cs="Arial"/>
          <w:sz w:val="20"/>
          <w:szCs w:val="20"/>
        </w:rPr>
        <w:t>8</w:t>
      </w:r>
      <w:r w:rsidRPr="006848B4">
        <w:rPr>
          <w:rFonts w:ascii="Arial" w:hAnsi="Arial" w:cs="Arial"/>
          <w:sz w:val="20"/>
          <w:szCs w:val="20"/>
        </w:rPr>
        <w:t xml:space="preserve"> and concerning abroad, it amounted to </w:t>
      </w:r>
      <w:r w:rsidR="008509C3" w:rsidRPr="006848B4">
        <w:rPr>
          <w:rFonts w:ascii="Arial" w:hAnsi="Arial" w:cs="Arial"/>
          <w:sz w:val="20"/>
          <w:szCs w:val="20"/>
        </w:rPr>
        <w:t>4.3</w:t>
      </w:r>
      <w:r w:rsidRPr="006848B4">
        <w:rPr>
          <w:rFonts w:ascii="Arial" w:hAnsi="Arial" w:cs="Arial"/>
          <w:sz w:val="20"/>
          <w:szCs w:val="20"/>
        </w:rPr>
        <w:t xml:space="preserve">%. </w:t>
      </w:r>
    </w:p>
    <w:p w:rsidR="009026D2" w:rsidRDefault="009026D2" w:rsidP="009026D2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9026D2" w:rsidRDefault="009026D2" w:rsidP="009026D2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C41CAE" w:rsidRPr="00347EAA" w:rsidRDefault="006A7461" w:rsidP="009E503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2953385</wp:posOffset>
                </wp:positionV>
                <wp:extent cx="752475" cy="190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48B4" w:rsidRPr="00184993" w:rsidRDefault="006848B4" w:rsidP="002F2F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constant</w:t>
                            </w:r>
                            <w:r w:rsidRPr="001849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232.55pt;width:59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" fillcolor="window" stroked="f" strokeweight=".5pt">
                <v:path arrowok="t"/>
                <v:textbox inset="0,0,0,0">
                  <w:txbxContent>
                    <w:p w:rsidR="006848B4" w:rsidRPr="00184993" w:rsidRDefault="006848B4" w:rsidP="002F2F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constant</w:t>
                      </w:r>
                      <w:r w:rsidRPr="001849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3001010</wp:posOffset>
                </wp:positionV>
                <wp:extent cx="752475" cy="190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2F9F" w:rsidRPr="00184993" w:rsidRDefault="002F2F9F" w:rsidP="002F2F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constant</w:t>
                            </w:r>
                            <w:r w:rsidRPr="001849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27" type="#_x0000_t202" style="position:absolute;left:0;text-align:left;margin-left:278.25pt;margin-top:236.3pt;width:59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" fillcolor="window" stroked="f" strokeweight=".5pt">
                <v:path arrowok="t"/>
                <v:textbox inset="0,0,0,0">
                  <w:txbxContent>
                    <w:p w:rsidR="002F2F9F" w:rsidRPr="00184993" w:rsidRDefault="002F2F9F" w:rsidP="002F2F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constant</w:t>
                      </w:r>
                      <w:r w:rsidRPr="001849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2938780</wp:posOffset>
                </wp:positionV>
                <wp:extent cx="923925" cy="257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2F9F" w:rsidRPr="00D079D3" w:rsidRDefault="002F2F9F" w:rsidP="002F2F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79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current prices</w:t>
                            </w:r>
                          </w:p>
                          <w:p w:rsidR="002F2F9F" w:rsidRPr="00D079D3" w:rsidRDefault="002F2F9F" w:rsidP="002F2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8" type="#_x0000_t202" style="position:absolute;left:0;text-align:left;margin-left:186pt;margin-top:231.4pt;width:72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" fillcolor="white [3201]" stroked="f" strokeweight=".5pt">
                <v:path arrowok="t"/>
                <v:textbox>
                  <w:txbxContent>
                    <w:p w:rsidR="002F2F9F" w:rsidRPr="00D079D3" w:rsidRDefault="002F2F9F" w:rsidP="002F2F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79D3">
                        <w:rPr>
                          <w:rFonts w:ascii="Arial" w:hAnsi="Arial" w:cs="Arial"/>
                          <w:sz w:val="16"/>
                          <w:szCs w:val="16"/>
                        </w:rPr>
                        <w:t>current prices</w:t>
                      </w:r>
                    </w:p>
                    <w:p w:rsidR="002F2F9F" w:rsidRPr="00D079D3" w:rsidRDefault="002F2F9F" w:rsidP="002F2F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03E" w:rsidRPr="00347EAA">
        <w:rPr>
          <w:noProof/>
          <w:lang w:val="en-US"/>
        </w:rPr>
        <w:drawing>
          <wp:inline distT="0" distB="0" distL="0" distR="0">
            <wp:extent cx="5276850" cy="32194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503E" w:rsidRPr="00347EAA" w:rsidRDefault="009E503E" w:rsidP="00413A2E">
      <w:pPr>
        <w:spacing w:before="120" w:after="120" w:line="264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26D2" w:rsidRDefault="009026D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F32C49" w:rsidRPr="00347EAA" w:rsidRDefault="00F32C49" w:rsidP="00413A2E">
      <w:pPr>
        <w:spacing w:before="120" w:after="120" w:line="264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47EA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1. Value indices of works </w:t>
      </w:r>
      <w:proofErr w:type="spellStart"/>
      <w:r w:rsidRPr="00347EAA">
        <w:rPr>
          <w:rFonts w:ascii="Arial" w:hAnsi="Arial" w:cs="Arial"/>
          <w:b/>
          <w:sz w:val="20"/>
          <w:szCs w:val="20"/>
        </w:rPr>
        <w:t>done</w:t>
      </w:r>
      <w:r w:rsidRPr="00347EAA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spellEnd"/>
      <w:r w:rsidRPr="00347EAA">
        <w:rPr>
          <w:rFonts w:ascii="Arial" w:hAnsi="Arial" w:cs="Arial"/>
          <w:b/>
          <w:bCs/>
          <w:color w:val="000000"/>
          <w:sz w:val="20"/>
          <w:szCs w:val="20"/>
        </w:rPr>
        <w:t xml:space="preserve"> contracted by the contractors from the Republic of Serbia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930"/>
        <w:gridCol w:w="930"/>
        <w:gridCol w:w="925"/>
        <w:gridCol w:w="930"/>
        <w:gridCol w:w="925"/>
        <w:gridCol w:w="928"/>
        <w:gridCol w:w="862"/>
        <w:gridCol w:w="862"/>
      </w:tblGrid>
      <w:tr w:rsidR="009E503E" w:rsidRPr="00347EAA" w:rsidTr="00DB0010">
        <w:trPr>
          <w:cantSplit/>
          <w:jc w:val="center"/>
        </w:trPr>
        <w:tc>
          <w:tcPr>
            <w:tcW w:w="2347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503E" w:rsidRPr="00347EAA" w:rsidRDefault="009E503E" w:rsidP="009E503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503E" w:rsidRPr="00347EAA" w:rsidRDefault="009E503E" w:rsidP="009E5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347EAA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 I–III  2018</w:t>
            </w:r>
          </w:p>
          <w:p w:rsidR="009E503E" w:rsidRPr="00347EAA" w:rsidRDefault="009E503E" w:rsidP="009E503E">
            <w:pPr>
              <w:pStyle w:val="Heading8"/>
              <w:spacing w:before="0"/>
              <w:rPr>
                <w:rFonts w:cs="Arial"/>
                <w:color w:val="000000"/>
                <w:sz w:val="17"/>
                <w:szCs w:val="17"/>
                <w:lang w:val="en-GB"/>
              </w:rPr>
            </w:pPr>
            <w:r w:rsidRPr="00347EAA">
              <w:rPr>
                <w:rFonts w:cs="Arial"/>
                <w:b w:val="0"/>
                <w:bCs w:val="0"/>
                <w:color w:val="000000"/>
                <w:sz w:val="17"/>
                <w:szCs w:val="17"/>
                <w:lang w:val="en-GB"/>
              </w:rPr>
              <w:t xml:space="preserve"> I–</w:t>
            </w:r>
            <w:r w:rsidRPr="00347EAA">
              <w:rPr>
                <w:rFonts w:cs="Arial"/>
                <w:b w:val="0"/>
                <w:color w:val="000000"/>
                <w:sz w:val="17"/>
                <w:szCs w:val="17"/>
                <w:lang w:val="en-GB"/>
              </w:rPr>
              <w:t>III  2017</w:t>
            </w:r>
          </w:p>
        </w:tc>
        <w:tc>
          <w:tcPr>
            <w:tcW w:w="1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347EAA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 III  2018</w:t>
            </w:r>
          </w:p>
          <w:p w:rsidR="009E503E" w:rsidRPr="00347EAA" w:rsidRDefault="009E503E" w:rsidP="009E503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347EAA">
              <w:rPr>
                <w:rFonts w:ascii="Arial" w:hAnsi="Arial" w:cs="Arial"/>
                <w:color w:val="000000"/>
                <w:sz w:val="17"/>
                <w:szCs w:val="17"/>
              </w:rPr>
              <w:t xml:space="preserve"> III  2017</w:t>
            </w:r>
          </w:p>
        </w:tc>
        <w:tc>
          <w:tcPr>
            <w:tcW w:w="185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E503E" w:rsidRPr="00347EAA" w:rsidRDefault="009E503E" w:rsidP="009E5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347EAA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  III  2018</w:t>
            </w:r>
          </w:p>
          <w:p w:rsidR="009E503E" w:rsidRPr="00347EAA" w:rsidRDefault="009E503E" w:rsidP="009E503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347EAA">
              <w:rPr>
                <w:rFonts w:ascii="Arial" w:hAnsi="Arial" w:cs="Arial"/>
                <w:color w:val="000000"/>
                <w:sz w:val="17"/>
                <w:szCs w:val="17"/>
              </w:rPr>
              <w:t xml:space="preserve">   II   2018</w:t>
            </w:r>
          </w:p>
        </w:tc>
        <w:tc>
          <w:tcPr>
            <w:tcW w:w="17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E503E" w:rsidRPr="00347EAA" w:rsidRDefault="009E503E" w:rsidP="009E503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347EAA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 III 2018</w:t>
            </w:r>
          </w:p>
          <w:p w:rsidR="009E503E" w:rsidRPr="00347EAA" w:rsidRDefault="009E503E" w:rsidP="009E503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347EAA">
              <w:rPr>
                <w:rFonts w:ascii="Arial" w:hAnsi="Arial" w:cs="Arial"/>
                <w:color w:val="000000"/>
                <w:sz w:val="17"/>
                <w:szCs w:val="17"/>
              </w:rPr>
              <w:t>Ø  2017</w:t>
            </w:r>
          </w:p>
        </w:tc>
      </w:tr>
      <w:tr w:rsidR="009E503E" w:rsidRPr="00347EAA" w:rsidTr="00DB0010">
        <w:trPr>
          <w:cantSplit/>
          <w:trHeight w:val="245"/>
          <w:jc w:val="center"/>
        </w:trPr>
        <w:tc>
          <w:tcPr>
            <w:tcW w:w="234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47EAA">
              <w:rPr>
                <w:rFonts w:ascii="Arial" w:eastAsia="Arial Unicode MS" w:hAnsi="Arial" w:cs="Arial"/>
                <w:sz w:val="17"/>
                <w:szCs w:val="17"/>
              </w:rPr>
              <w:t xml:space="preserve">Current prices </w:t>
            </w: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47EAA">
              <w:rPr>
                <w:rFonts w:ascii="Arial" w:eastAsia="Arial Unicode MS" w:hAnsi="Arial" w:cs="Arial"/>
                <w:sz w:val="17"/>
                <w:szCs w:val="17"/>
              </w:rPr>
              <w:t>Constant prices</w:t>
            </w: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47EAA">
              <w:rPr>
                <w:rFonts w:ascii="Arial" w:eastAsia="Arial Unicode MS" w:hAnsi="Arial" w:cs="Arial"/>
                <w:sz w:val="17"/>
                <w:szCs w:val="17"/>
              </w:rPr>
              <w:t xml:space="preserve">Current prices </w:t>
            </w: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47EAA">
              <w:rPr>
                <w:rFonts w:ascii="Arial" w:eastAsia="Arial Unicode MS" w:hAnsi="Arial" w:cs="Arial"/>
                <w:sz w:val="17"/>
                <w:szCs w:val="17"/>
              </w:rPr>
              <w:t>Constant prices</w:t>
            </w: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47EAA">
              <w:rPr>
                <w:rFonts w:ascii="Arial" w:eastAsia="Arial Unicode MS" w:hAnsi="Arial" w:cs="Arial"/>
                <w:sz w:val="17"/>
                <w:szCs w:val="17"/>
              </w:rPr>
              <w:t xml:space="preserve">Current prices </w:t>
            </w: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E503E" w:rsidRPr="00347EAA" w:rsidRDefault="009E503E" w:rsidP="009E503E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47EAA">
              <w:rPr>
                <w:rFonts w:ascii="Arial" w:eastAsia="Arial Unicode MS" w:hAnsi="Arial" w:cs="Arial"/>
                <w:sz w:val="17"/>
                <w:szCs w:val="17"/>
              </w:rPr>
              <w:t>Constant prices</w:t>
            </w: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E503E" w:rsidRPr="00347EAA" w:rsidRDefault="009E503E" w:rsidP="009E503E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47EAA">
              <w:rPr>
                <w:rFonts w:ascii="Arial" w:eastAsia="Arial Unicode MS" w:hAnsi="Arial" w:cs="Arial"/>
                <w:sz w:val="17"/>
                <w:szCs w:val="17"/>
              </w:rPr>
              <w:t xml:space="preserve">Current prices </w:t>
            </w: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E503E" w:rsidRPr="00347EAA" w:rsidRDefault="009E503E" w:rsidP="009E503E">
            <w:pPr>
              <w:spacing w:before="60" w:after="60"/>
              <w:jc w:val="center"/>
              <w:rPr>
                <w:rFonts w:ascii="Arial" w:eastAsia="Arial Unicode MS" w:hAnsi="Arial" w:cs="Arial"/>
                <w:sz w:val="17"/>
                <w:szCs w:val="17"/>
              </w:rPr>
            </w:pPr>
            <w:r w:rsidRPr="00347EAA">
              <w:rPr>
                <w:rFonts w:ascii="Arial" w:eastAsia="Arial Unicode MS" w:hAnsi="Arial" w:cs="Arial"/>
                <w:sz w:val="17"/>
                <w:szCs w:val="17"/>
              </w:rPr>
              <w:t>Constant prices</w:t>
            </w: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line="288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9E503E" w:rsidRPr="00347EAA" w:rsidRDefault="009E503E" w:rsidP="009E503E">
            <w:pPr>
              <w:spacing w:line="288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503E" w:rsidRPr="00347EAA" w:rsidRDefault="009E503E" w:rsidP="009E503E">
            <w:pPr>
              <w:spacing w:line="288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line="288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47EAA">
              <w:rPr>
                <w:rFonts w:ascii="Arial" w:hAnsi="Arial" w:cs="Arial"/>
                <w:b/>
                <w:sz w:val="17"/>
                <w:szCs w:val="17"/>
              </w:rPr>
              <w:t>Value of works done – total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111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109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104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99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117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113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117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 xml:space="preserve">    Buildings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93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91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89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85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117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114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100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96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 xml:space="preserve">    Civil engineering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123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120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107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116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113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136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130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Value of  works done on the territory of the Republic of Serbia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120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118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107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115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132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126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E503E" w:rsidRPr="00347EAA" w:rsidTr="00052F5A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 xml:space="preserve">    Buildings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115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110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105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117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114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126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121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9E503E" w:rsidRPr="00347EAA" w:rsidTr="00052F5A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 xml:space="preserve">    Civil engineering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123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121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107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114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111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135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129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Value of  works done abroad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42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41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41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39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159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154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45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43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line="288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503E" w:rsidRPr="00347EAA" w:rsidTr="00DB0010">
        <w:trPr>
          <w:cantSplit/>
          <w:jc w:val="center"/>
        </w:trPr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E503E" w:rsidRPr="00347EAA" w:rsidRDefault="009E503E" w:rsidP="009E503E">
            <w:pPr>
              <w:spacing w:line="288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47EAA">
              <w:rPr>
                <w:rFonts w:ascii="Arial" w:hAnsi="Arial" w:cs="Arial"/>
                <w:b/>
                <w:sz w:val="17"/>
                <w:szCs w:val="17"/>
              </w:rPr>
              <w:t>Value of contracted works</w:t>
            </w:r>
          </w:p>
        </w:tc>
        <w:tc>
          <w:tcPr>
            <w:tcW w:w="93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119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111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106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127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124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142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03E" w:rsidRPr="00347EAA" w:rsidRDefault="009E503E" w:rsidP="009E503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7EAA">
              <w:rPr>
                <w:rFonts w:ascii="Arial" w:hAnsi="Arial" w:cs="Arial"/>
                <w:sz w:val="17"/>
                <w:szCs w:val="17"/>
              </w:rPr>
              <w:t>136</w:t>
            </w:r>
            <w:r w:rsidR="006848B4">
              <w:rPr>
                <w:rFonts w:ascii="Arial" w:hAnsi="Arial" w:cs="Arial"/>
                <w:sz w:val="17"/>
                <w:szCs w:val="17"/>
              </w:rPr>
              <w:t>.</w:t>
            </w:r>
            <w:r w:rsidRPr="00347EAA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</w:tbl>
    <w:p w:rsidR="0006407A" w:rsidRPr="00347EAA" w:rsidRDefault="0006407A" w:rsidP="00413A2E">
      <w:pPr>
        <w:spacing w:before="120" w:after="120" w:line="264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07A" w:rsidRPr="00347EAA" w:rsidRDefault="0006407A" w:rsidP="00413A2E">
      <w:pPr>
        <w:spacing w:before="120" w:after="120" w:line="264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07A" w:rsidRPr="00347EAA" w:rsidRDefault="0006407A" w:rsidP="00413A2E">
      <w:pPr>
        <w:spacing w:before="120" w:after="120" w:line="264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407A" w:rsidRPr="00347EAA" w:rsidRDefault="0006407A" w:rsidP="00413A2E">
      <w:pPr>
        <w:spacing w:before="120" w:after="120" w:line="264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91A" w:rsidRPr="00347EAA" w:rsidRDefault="00A55B74" w:rsidP="0097391A">
      <w:pPr>
        <w:pStyle w:val="Heading8"/>
        <w:spacing w:before="120" w:after="0"/>
        <w:ind w:firstLine="397"/>
        <w:jc w:val="both"/>
        <w:rPr>
          <w:rFonts w:cs="Arial"/>
          <w:sz w:val="22"/>
          <w:szCs w:val="22"/>
          <w:lang w:val="en-GB"/>
        </w:rPr>
      </w:pPr>
      <w:r w:rsidRPr="00347EAA">
        <w:rPr>
          <w:rFonts w:cs="Arial"/>
          <w:sz w:val="22"/>
          <w:szCs w:val="22"/>
          <w:lang w:val="en-GB"/>
        </w:rPr>
        <w:t>Methodological explanations</w:t>
      </w:r>
      <w:r w:rsidR="0097391A" w:rsidRPr="00347EAA">
        <w:rPr>
          <w:rFonts w:cs="Arial"/>
          <w:sz w:val="22"/>
          <w:szCs w:val="22"/>
          <w:lang w:val="en-GB"/>
        </w:rPr>
        <w:t>:</w:t>
      </w:r>
    </w:p>
    <w:p w:rsidR="0097391A" w:rsidRPr="00347EAA" w:rsidRDefault="0097391A" w:rsidP="0097391A">
      <w:pPr>
        <w:pStyle w:val="BodyText"/>
        <w:spacing w:before="120"/>
        <w:ind w:firstLine="397"/>
        <w:rPr>
          <w:rFonts w:cs="Arial"/>
          <w:b/>
          <w:sz w:val="20"/>
          <w:lang w:val="en-GB"/>
        </w:rPr>
      </w:pPr>
      <w:r w:rsidRPr="00347EAA">
        <w:rPr>
          <w:rFonts w:cs="Arial"/>
          <w:sz w:val="20"/>
          <w:lang w:val="en-GB"/>
        </w:rPr>
        <w:t xml:space="preserve">The presented data are collected by the survey on quarterly construction activity. The report is filled by </w:t>
      </w:r>
      <w:r w:rsidR="0023602B" w:rsidRPr="00347EAA">
        <w:rPr>
          <w:rFonts w:cs="Arial"/>
          <w:sz w:val="20"/>
          <w:lang w:val="en-GB"/>
        </w:rPr>
        <w:t>enterprises</w:t>
      </w:r>
      <w:r w:rsidRPr="00347EAA">
        <w:rPr>
          <w:rFonts w:cs="Arial"/>
          <w:sz w:val="20"/>
          <w:lang w:val="en-GB"/>
        </w:rPr>
        <w:t xml:space="preserve"> that perform construction works. The survey does not include all </w:t>
      </w:r>
      <w:r w:rsidR="0023602B" w:rsidRPr="00347EAA">
        <w:rPr>
          <w:rFonts w:cs="Arial"/>
          <w:sz w:val="20"/>
          <w:lang w:val="en-GB"/>
        </w:rPr>
        <w:t>enterprises</w:t>
      </w:r>
      <w:r w:rsidRPr="00347EAA">
        <w:rPr>
          <w:rFonts w:cs="Arial"/>
          <w:sz w:val="20"/>
          <w:lang w:val="en-GB"/>
        </w:rPr>
        <w:t xml:space="preserve">, but only those, important for construction activity.   </w:t>
      </w:r>
    </w:p>
    <w:p w:rsidR="00BF1E5A" w:rsidRPr="00347EAA" w:rsidRDefault="0097391A" w:rsidP="00BF1E5A">
      <w:pPr>
        <w:spacing w:before="120"/>
        <w:ind w:firstLine="397"/>
        <w:jc w:val="both"/>
        <w:rPr>
          <w:rFonts w:ascii="Arial" w:hAnsi="Arial" w:cs="Arial"/>
          <w:sz w:val="20"/>
          <w:szCs w:val="20"/>
        </w:rPr>
      </w:pPr>
      <w:r w:rsidRPr="00347EAA">
        <w:rPr>
          <w:rFonts w:ascii="Arial" w:hAnsi="Arial" w:cs="Arial"/>
          <w:sz w:val="20"/>
          <w:szCs w:val="20"/>
        </w:rPr>
        <w:t>Value indices at constant prices are obtained by dividing indices at current prices by appropriate indices of producer’s prices of elements and materials incorporated in construction</w:t>
      </w:r>
      <w:r w:rsidR="00BF1E5A" w:rsidRPr="00347EAA">
        <w:rPr>
          <w:rFonts w:ascii="Arial" w:hAnsi="Arial" w:cs="Arial"/>
          <w:sz w:val="20"/>
          <w:szCs w:val="20"/>
        </w:rPr>
        <w:t>.</w:t>
      </w:r>
    </w:p>
    <w:p w:rsidR="008509C3" w:rsidRPr="00C3477E" w:rsidRDefault="00A55B74" w:rsidP="008509C3">
      <w:pPr>
        <w:pStyle w:val="BodyText2"/>
        <w:spacing w:before="120" w:line="264" w:lineRule="auto"/>
        <w:ind w:firstLine="397"/>
        <w:rPr>
          <w:bCs/>
          <w:sz w:val="20"/>
          <w:szCs w:val="20"/>
        </w:rPr>
      </w:pPr>
      <w:r w:rsidRPr="00347EAA">
        <w:rPr>
          <w:sz w:val="20"/>
          <w:szCs w:val="20"/>
        </w:rPr>
        <w:t xml:space="preserve">More detailed methodological explanations of this survey are available on the website of the </w:t>
      </w:r>
      <w:r w:rsidR="00A46E6C" w:rsidRPr="00347EAA">
        <w:rPr>
          <w:sz w:val="20"/>
          <w:szCs w:val="20"/>
        </w:rPr>
        <w:t xml:space="preserve">Statistical </w:t>
      </w:r>
      <w:r w:rsidRPr="00347EAA">
        <w:rPr>
          <w:sz w:val="20"/>
          <w:szCs w:val="20"/>
        </w:rPr>
        <w:t>Office</w:t>
      </w:r>
      <w:r w:rsidR="00A46E6C" w:rsidRPr="00347EAA">
        <w:rPr>
          <w:sz w:val="20"/>
          <w:szCs w:val="20"/>
        </w:rPr>
        <w:t xml:space="preserve"> of the Republic of </w:t>
      </w:r>
      <w:r w:rsidR="00A46E6C" w:rsidRPr="00C3477E">
        <w:rPr>
          <w:sz w:val="20"/>
          <w:szCs w:val="20"/>
        </w:rPr>
        <w:t>Serbia</w:t>
      </w:r>
      <w:r w:rsidR="00C3477E">
        <w:rPr>
          <w:sz w:val="20"/>
          <w:szCs w:val="20"/>
        </w:rPr>
        <w:t xml:space="preserve"> </w:t>
      </w:r>
      <w:hyperlink r:id="rId10" w:history="1">
        <w:r w:rsidR="00AA2669" w:rsidRPr="00C201FE">
          <w:rPr>
            <w:rStyle w:val="Hyperlink"/>
            <w:sz w:val="20"/>
            <w:szCs w:val="20"/>
          </w:rPr>
          <w:t>http://www.stat.gov.rs/en-US/oblasti/gradjevinarstvo/gradjevinska-aktivnost</w:t>
        </w:r>
      </w:hyperlink>
      <w:bookmarkStart w:id="0" w:name="_GoBack"/>
      <w:bookmarkEnd w:id="0"/>
      <w:r w:rsidR="00AA2669">
        <w:rPr>
          <w:sz w:val="20"/>
          <w:szCs w:val="20"/>
        </w:rPr>
        <w:t>.</w:t>
      </w:r>
    </w:p>
    <w:p w:rsidR="00A55B74" w:rsidRPr="00347EAA" w:rsidRDefault="00A55B74" w:rsidP="00A55B74">
      <w:pPr>
        <w:spacing w:before="120"/>
        <w:ind w:firstLine="397"/>
        <w:jc w:val="both"/>
        <w:rPr>
          <w:rFonts w:ascii="Arial" w:hAnsi="Arial" w:cs="Arial"/>
          <w:b/>
          <w:sz w:val="20"/>
        </w:rPr>
      </w:pPr>
      <w:r w:rsidRPr="00347EAA">
        <w:rPr>
          <w:rFonts w:ascii="Arial" w:hAnsi="Arial" w:cs="Arial"/>
          <w:sz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347EAA">
        <w:rPr>
          <w:rFonts w:ascii="Arial" w:hAnsi="Arial" w:cs="Arial"/>
          <w:sz w:val="20"/>
        </w:rPr>
        <w:t>Metohija</w:t>
      </w:r>
      <w:proofErr w:type="spellEnd"/>
      <w:r w:rsidRPr="00347EAA">
        <w:rPr>
          <w:rFonts w:ascii="Arial" w:hAnsi="Arial" w:cs="Arial"/>
          <w:sz w:val="20"/>
        </w:rPr>
        <w:t xml:space="preserve"> and therefore these data are not included in the coverage for the Republic of Serbia (total).</w:t>
      </w:r>
    </w:p>
    <w:p w:rsidR="00A55B74" w:rsidRPr="00347EAA" w:rsidRDefault="00A55B74" w:rsidP="0097391A">
      <w:pPr>
        <w:spacing w:before="120"/>
        <w:ind w:firstLine="397"/>
        <w:jc w:val="both"/>
        <w:rPr>
          <w:rFonts w:ascii="Arial" w:hAnsi="Arial" w:cs="Arial"/>
          <w:sz w:val="20"/>
          <w:szCs w:val="20"/>
        </w:rPr>
      </w:pPr>
    </w:p>
    <w:p w:rsidR="00E31669" w:rsidRPr="00347EAA" w:rsidRDefault="00E31669" w:rsidP="00E31669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A55B74" w:rsidRPr="00347EAA" w:rsidRDefault="00A55B74" w:rsidP="0097391A">
      <w:pPr>
        <w:pStyle w:val="BodyText2"/>
        <w:rPr>
          <w:bCs/>
          <w:sz w:val="20"/>
          <w:szCs w:val="20"/>
        </w:rPr>
      </w:pPr>
    </w:p>
    <w:p w:rsidR="00A55B74" w:rsidRPr="00347EAA" w:rsidRDefault="00A55B74" w:rsidP="0097391A">
      <w:pPr>
        <w:pStyle w:val="BodyText2"/>
        <w:rPr>
          <w:bCs/>
          <w:sz w:val="20"/>
          <w:szCs w:val="20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8879"/>
      </w:tblGrid>
      <w:tr w:rsidR="0097391A" w:rsidRPr="00347EAA">
        <w:tc>
          <w:tcPr>
            <w:tcW w:w="9073" w:type="dxa"/>
            <w:shd w:val="clear" w:color="auto" w:fill="auto"/>
          </w:tcPr>
          <w:p w:rsidR="00DF0D49" w:rsidRPr="00347EAA" w:rsidRDefault="00622B89" w:rsidP="00987329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347EAA">
              <w:rPr>
                <w:rFonts w:ascii="Arial" w:hAnsi="Arial" w:cs="Arial"/>
                <w:iCs/>
                <w:sz w:val="18"/>
                <w:szCs w:val="18"/>
              </w:rPr>
              <w:t>Contact</w:t>
            </w:r>
            <w:r w:rsidR="00DF0D49" w:rsidRPr="00347EAA">
              <w:rPr>
                <w:rFonts w:ascii="Arial" w:hAnsi="Arial" w:cs="Arial"/>
                <w:iCs/>
                <w:sz w:val="18"/>
                <w:szCs w:val="18"/>
              </w:rPr>
              <w:t>:</w:t>
            </w:r>
            <w:hyperlink r:id="rId11" w:history="1">
              <w:r w:rsidR="00DF0D49" w:rsidRPr="00347EAA">
                <w:rPr>
                  <w:rStyle w:val="Hyperlink"/>
                  <w:rFonts w:ascii="Arial" w:hAnsi="Arial" w:cs="Arial"/>
                  <w:iCs/>
                  <w:sz w:val="18"/>
                  <w:szCs w:val="18"/>
                  <w:u w:val="none"/>
                </w:rPr>
                <w:t>milka.djuka@stat.gov.rs</w:t>
              </w:r>
            </w:hyperlink>
            <w:r w:rsidRPr="00347EAA">
              <w:rPr>
                <w:rFonts w:ascii="Arial" w:hAnsi="Arial" w:cs="Arial"/>
                <w:iCs/>
                <w:sz w:val="18"/>
                <w:szCs w:val="18"/>
              </w:rPr>
              <w:t>Phone</w:t>
            </w:r>
            <w:proofErr w:type="spellEnd"/>
            <w:r w:rsidR="00DF0D49" w:rsidRPr="00347EAA">
              <w:rPr>
                <w:rFonts w:ascii="Arial" w:hAnsi="Arial" w:cs="Arial"/>
                <w:iCs/>
                <w:sz w:val="18"/>
                <w:szCs w:val="18"/>
              </w:rPr>
              <w:t xml:space="preserve">: 011 2412-922  </w:t>
            </w:r>
            <w:r w:rsidRPr="00347EAA">
              <w:rPr>
                <w:rFonts w:ascii="Arial" w:hAnsi="Arial" w:cs="Arial"/>
                <w:iCs/>
                <w:sz w:val="18"/>
                <w:szCs w:val="18"/>
              </w:rPr>
              <w:t>ext.</w:t>
            </w:r>
            <w:r w:rsidR="00DF0D49" w:rsidRPr="00347EAA">
              <w:rPr>
                <w:rFonts w:ascii="Arial" w:hAnsi="Arial" w:cs="Arial"/>
                <w:iCs/>
                <w:sz w:val="18"/>
                <w:szCs w:val="18"/>
              </w:rPr>
              <w:t xml:space="preserve"> 260</w:t>
            </w:r>
          </w:p>
          <w:p w:rsidR="0097391A" w:rsidRPr="00347EAA" w:rsidRDefault="0097391A" w:rsidP="009873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7EAA">
              <w:rPr>
                <w:rFonts w:ascii="Arial" w:hAnsi="Arial" w:cs="Arial"/>
                <w:iCs/>
                <w:sz w:val="18"/>
                <w:szCs w:val="18"/>
              </w:rPr>
              <w:t xml:space="preserve">Published and printed by: Statistical Office of the Republic of Serbia, </w:t>
            </w:r>
            <w:r w:rsidR="002A67FB" w:rsidRPr="00347EAA">
              <w:rPr>
                <w:rFonts w:ascii="Arial" w:hAnsi="Arial" w:cs="Arial"/>
                <w:iCs/>
                <w:sz w:val="18"/>
                <w:szCs w:val="18"/>
              </w:rPr>
              <w:t xml:space="preserve">11 050 </w:t>
            </w:r>
            <w:r w:rsidRPr="00347EAA">
              <w:rPr>
                <w:rFonts w:ascii="Arial" w:hAnsi="Arial" w:cs="Arial"/>
                <w:iCs/>
                <w:sz w:val="18"/>
                <w:szCs w:val="18"/>
              </w:rPr>
              <w:t xml:space="preserve">Belgrade, </w:t>
            </w:r>
            <w:proofErr w:type="spellStart"/>
            <w:r w:rsidRPr="00347EAA">
              <w:rPr>
                <w:rFonts w:ascii="Arial" w:hAnsi="Arial" w:cs="Arial"/>
                <w:iCs/>
                <w:sz w:val="18"/>
                <w:szCs w:val="18"/>
              </w:rPr>
              <w:t>Milana</w:t>
            </w:r>
            <w:proofErr w:type="spellEnd"/>
            <w:r w:rsidRPr="00347EA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347EAA">
              <w:rPr>
                <w:rFonts w:ascii="Arial" w:hAnsi="Arial" w:cs="Arial"/>
                <w:iCs/>
                <w:sz w:val="18"/>
                <w:szCs w:val="18"/>
              </w:rPr>
              <w:t>Raki</w:t>
            </w:r>
            <w:r w:rsidR="00C57BC6" w:rsidRPr="00347EAA">
              <w:rPr>
                <w:rFonts w:ascii="Arial" w:hAnsi="Arial" w:cs="Arial"/>
                <w:iCs/>
                <w:sz w:val="18"/>
                <w:szCs w:val="18"/>
              </w:rPr>
              <w:t>ć</w:t>
            </w:r>
            <w:r w:rsidRPr="00347EAA">
              <w:rPr>
                <w:rFonts w:ascii="Arial" w:hAnsi="Arial" w:cs="Arial"/>
                <w:iCs/>
                <w:sz w:val="18"/>
                <w:szCs w:val="18"/>
              </w:rPr>
              <w:t>a</w:t>
            </w:r>
            <w:proofErr w:type="spellEnd"/>
            <w:r w:rsidRPr="00347EAA">
              <w:rPr>
                <w:rFonts w:ascii="Arial" w:hAnsi="Arial" w:cs="Arial"/>
                <w:iCs/>
                <w:sz w:val="18"/>
                <w:szCs w:val="18"/>
              </w:rPr>
              <w:t xml:space="preserve"> 5, </w:t>
            </w:r>
          </w:p>
          <w:p w:rsidR="0097391A" w:rsidRPr="00347EAA" w:rsidRDefault="0097391A" w:rsidP="009873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7EAA">
              <w:rPr>
                <w:rFonts w:ascii="Arial" w:hAnsi="Arial" w:cs="Arial"/>
                <w:iCs/>
                <w:sz w:val="18"/>
                <w:szCs w:val="18"/>
              </w:rPr>
              <w:t xml:space="preserve">Phone: +381 11 2412922 </w:t>
            </w:r>
            <w:r w:rsidR="002A67FB" w:rsidRPr="00347EAA">
              <w:rPr>
                <w:rFonts w:ascii="Arial" w:hAnsi="Arial" w:cs="Arial"/>
                <w:iCs/>
                <w:sz w:val="18"/>
                <w:szCs w:val="18"/>
              </w:rPr>
              <w:t>(telephone exchange)</w:t>
            </w:r>
            <w:r w:rsidRPr="00347EAA">
              <w:rPr>
                <w:rFonts w:ascii="Arial" w:hAnsi="Arial"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97391A" w:rsidRPr="00347EAA" w:rsidRDefault="0097391A" w:rsidP="0098732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47EAA">
              <w:rPr>
                <w:rFonts w:ascii="Arial" w:hAnsi="Arial" w:cs="Arial"/>
                <w:iCs/>
                <w:sz w:val="18"/>
                <w:szCs w:val="18"/>
              </w:rPr>
              <w:t xml:space="preserve">Responsible: </w:t>
            </w:r>
            <w:r w:rsidR="00360114" w:rsidRPr="00347EAA">
              <w:rPr>
                <w:rFonts w:ascii="Arial" w:hAnsi="Arial" w:cs="Arial"/>
                <w:iCs/>
                <w:sz w:val="18"/>
                <w:szCs w:val="18"/>
              </w:rPr>
              <w:t xml:space="preserve">Dr </w:t>
            </w:r>
            <w:proofErr w:type="spellStart"/>
            <w:r w:rsidR="00360114" w:rsidRPr="00347EAA">
              <w:rPr>
                <w:rFonts w:ascii="Arial" w:hAnsi="Arial" w:cs="Arial"/>
                <w:iCs/>
                <w:sz w:val="18"/>
                <w:szCs w:val="18"/>
              </w:rPr>
              <w:t>Miladin</w:t>
            </w:r>
            <w:proofErr w:type="spellEnd"/>
            <w:r w:rsidR="00360114" w:rsidRPr="00347EA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360114" w:rsidRPr="00347EAA">
              <w:rPr>
                <w:rFonts w:ascii="Arial" w:hAnsi="Arial" w:cs="Arial"/>
                <w:iCs/>
                <w:sz w:val="18"/>
                <w:szCs w:val="18"/>
              </w:rPr>
              <w:t>Kovacevic</w:t>
            </w:r>
            <w:proofErr w:type="spellEnd"/>
            <w:r w:rsidRPr="00347EAA">
              <w:rPr>
                <w:rFonts w:ascii="Arial" w:hAnsi="Arial" w:cs="Arial"/>
                <w:iCs/>
                <w:sz w:val="18"/>
                <w:szCs w:val="18"/>
              </w:rPr>
              <w:t>, Director</w:t>
            </w:r>
          </w:p>
          <w:p w:rsidR="0097391A" w:rsidRPr="00347EAA" w:rsidRDefault="0097391A" w:rsidP="00987329">
            <w:pPr>
              <w:jc w:val="center"/>
              <w:rPr>
                <w:i/>
                <w:iCs/>
              </w:rPr>
            </w:pPr>
            <w:r w:rsidRPr="00347EAA">
              <w:rPr>
                <w:rFonts w:ascii="Arial" w:hAnsi="Arial" w:cs="Arial"/>
                <w:iCs/>
                <w:sz w:val="18"/>
                <w:szCs w:val="18"/>
              </w:rPr>
              <w:t>Circulation: 20 ● Issued Quarterly</w:t>
            </w:r>
          </w:p>
        </w:tc>
      </w:tr>
    </w:tbl>
    <w:p w:rsidR="00372C73" w:rsidRPr="00347EAA" w:rsidRDefault="00372C73" w:rsidP="00372C73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97391A" w:rsidRPr="00347EAA" w:rsidRDefault="0097391A" w:rsidP="00110C0C">
      <w:pPr>
        <w:ind w:firstLine="720"/>
        <w:jc w:val="both"/>
        <w:rPr>
          <w:bCs/>
          <w:sz w:val="20"/>
          <w:szCs w:val="20"/>
        </w:rPr>
      </w:pPr>
    </w:p>
    <w:sectPr w:rsidR="0097391A" w:rsidRPr="00347EAA" w:rsidSect="00945C1F">
      <w:footerReference w:type="even" r:id="rId12"/>
      <w:footerReference w:type="default" r:id="rId13"/>
      <w:pgSz w:w="11907" w:h="16840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95" w:rsidRDefault="004A5F95">
      <w:r>
        <w:separator/>
      </w:r>
    </w:p>
  </w:endnote>
  <w:endnote w:type="continuationSeparator" w:id="0">
    <w:p w:rsidR="004A5F95" w:rsidRDefault="004A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DD" w:rsidRPr="005447DD" w:rsidRDefault="00104480" w:rsidP="009B0852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5447DD">
      <w:rPr>
        <w:rStyle w:val="PageNumber"/>
        <w:rFonts w:ascii="Arial" w:hAnsi="Arial" w:cs="Arial"/>
        <w:sz w:val="16"/>
        <w:szCs w:val="16"/>
      </w:rPr>
      <w:fldChar w:fldCharType="begin"/>
    </w:r>
    <w:r w:rsidR="005447DD" w:rsidRPr="005447D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5447DD">
      <w:rPr>
        <w:rStyle w:val="PageNumber"/>
        <w:rFonts w:ascii="Arial" w:hAnsi="Arial" w:cs="Arial"/>
        <w:sz w:val="16"/>
        <w:szCs w:val="16"/>
      </w:rPr>
      <w:fldChar w:fldCharType="separate"/>
    </w:r>
    <w:r w:rsidR="00AA2669">
      <w:rPr>
        <w:rStyle w:val="PageNumber"/>
        <w:rFonts w:ascii="Arial" w:hAnsi="Arial" w:cs="Arial"/>
        <w:noProof/>
        <w:sz w:val="16"/>
        <w:szCs w:val="16"/>
      </w:rPr>
      <w:t>2</w:t>
    </w:r>
    <w:r w:rsidRPr="005447DD">
      <w:rPr>
        <w:rStyle w:val="PageNumber"/>
        <w:rFonts w:ascii="Arial" w:hAnsi="Arial" w:cs="Arial"/>
        <w:sz w:val="16"/>
        <w:szCs w:val="16"/>
      </w:rPr>
      <w:fldChar w:fldCharType="end"/>
    </w:r>
  </w:p>
  <w:p w:rsidR="005447DD" w:rsidRPr="004A7452" w:rsidRDefault="005447DD" w:rsidP="005447DD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SERB</w:t>
    </w:r>
    <w:r w:rsidR="009E503E">
      <w:rPr>
        <w:rFonts w:ascii="Arial" w:hAnsi="Arial" w:cs="Arial"/>
        <w:sz w:val="16"/>
        <w:szCs w:val="16"/>
      </w:rPr>
      <w:t>302</w:t>
    </w:r>
    <w:r>
      <w:rPr>
        <w:rFonts w:ascii="Arial" w:hAnsi="Arial" w:cs="Arial"/>
        <w:sz w:val="16"/>
        <w:szCs w:val="16"/>
      </w:rPr>
      <w:t xml:space="preserve"> GR</w:t>
    </w:r>
    <w:r w:rsidR="0097391A">
      <w:rPr>
        <w:rFonts w:ascii="Arial" w:hAnsi="Arial" w:cs="Arial"/>
        <w:sz w:val="16"/>
        <w:szCs w:val="16"/>
      </w:rPr>
      <w:t>11</w:t>
    </w:r>
    <w:r w:rsidR="009E503E">
      <w:rPr>
        <w:rFonts w:ascii="Arial" w:hAnsi="Arial" w:cs="Arial"/>
        <w:sz w:val="16"/>
        <w:szCs w:val="16"/>
      </w:rPr>
      <w:t>091118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DD" w:rsidRDefault="00104480" w:rsidP="009B085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447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D2">
      <w:rPr>
        <w:rStyle w:val="PageNumber"/>
        <w:noProof/>
      </w:rPr>
      <w:t>3</w:t>
    </w:r>
    <w:r>
      <w:rPr>
        <w:rStyle w:val="PageNumber"/>
      </w:rPr>
      <w:fldChar w:fldCharType="end"/>
    </w:r>
  </w:p>
  <w:p w:rsidR="00825DCB" w:rsidRDefault="00825DCB" w:rsidP="005447DD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  <w:lang w:val="sr-Cyrl-CS"/>
      </w:rPr>
      <w:tab/>
      <w:t>ИН</w:t>
    </w:r>
    <w:r>
      <w:rPr>
        <w:rFonts w:ascii="Arial" w:hAnsi="Arial" w:cs="Arial"/>
        <w:sz w:val="16"/>
        <w:lang w:val="sr-Cyrl-CS"/>
      </w:rPr>
      <w:t>10 260304</w:t>
    </w:r>
    <w:r>
      <w:rPr>
        <w:rStyle w:val="PageNumber"/>
        <w:rFonts w:ascii="Arial" w:hAnsi="Arial" w:cs="Arial"/>
        <w:sz w:val="16"/>
      </w:rPr>
      <w:tab/>
    </w:r>
  </w:p>
  <w:p w:rsidR="00825DCB" w:rsidRDefault="00825DCB">
    <w:pPr>
      <w:pStyle w:val="Footer"/>
    </w:pPr>
  </w:p>
  <w:p w:rsidR="00825DCB" w:rsidRDefault="00825DC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95" w:rsidRDefault="004A5F95">
      <w:r>
        <w:t>_________</w:t>
      </w:r>
    </w:p>
  </w:footnote>
  <w:footnote w:type="continuationSeparator" w:id="0">
    <w:p w:rsidR="004A5F95" w:rsidRDefault="004A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7345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C3F0B"/>
    <w:multiLevelType w:val="hybridMultilevel"/>
    <w:tmpl w:val="EC38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4F2"/>
    <w:multiLevelType w:val="hybridMultilevel"/>
    <w:tmpl w:val="3924A7B0"/>
    <w:lvl w:ilvl="0" w:tplc="730899A8">
      <w:start w:val="1"/>
      <w:numFmt w:val="bullet"/>
      <w:lvlText w:val="–"/>
      <w:lvlJc w:val="left"/>
      <w:pPr>
        <w:tabs>
          <w:tab w:val="num" w:pos="507"/>
        </w:tabs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7"/>
        </w:tabs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7"/>
        </w:tabs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7"/>
        </w:tabs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7"/>
        </w:tabs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7"/>
        </w:tabs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7"/>
        </w:tabs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7"/>
        </w:tabs>
        <w:ind w:left="6267" w:hanging="360"/>
      </w:pPr>
      <w:rPr>
        <w:rFonts w:ascii="Wingdings" w:hAnsi="Wingdings" w:hint="default"/>
      </w:rPr>
    </w:lvl>
  </w:abstractNum>
  <w:abstractNum w:abstractNumId="5" w15:restartNumberingAfterBreak="0">
    <w:nsid w:val="40D735AF"/>
    <w:multiLevelType w:val="hybridMultilevel"/>
    <w:tmpl w:val="A07C33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4190D"/>
    <w:multiLevelType w:val="hybridMultilevel"/>
    <w:tmpl w:val="E5BE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415"/>
    <w:multiLevelType w:val="hybridMultilevel"/>
    <w:tmpl w:val="A1943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E"/>
    <w:rsid w:val="00004BB9"/>
    <w:rsid w:val="00012A1E"/>
    <w:rsid w:val="000144E9"/>
    <w:rsid w:val="000144FA"/>
    <w:rsid w:val="0001461E"/>
    <w:rsid w:val="00014F01"/>
    <w:rsid w:val="00016B90"/>
    <w:rsid w:val="00021160"/>
    <w:rsid w:val="00021A0C"/>
    <w:rsid w:val="00021CE7"/>
    <w:rsid w:val="00023C11"/>
    <w:rsid w:val="00026C9D"/>
    <w:rsid w:val="00033480"/>
    <w:rsid w:val="00036A77"/>
    <w:rsid w:val="00037E29"/>
    <w:rsid w:val="00040661"/>
    <w:rsid w:val="0004547F"/>
    <w:rsid w:val="000458FC"/>
    <w:rsid w:val="00045A3B"/>
    <w:rsid w:val="00047349"/>
    <w:rsid w:val="00054A33"/>
    <w:rsid w:val="00054C7D"/>
    <w:rsid w:val="00055095"/>
    <w:rsid w:val="000562C3"/>
    <w:rsid w:val="00063FA5"/>
    <w:rsid w:val="0006407A"/>
    <w:rsid w:val="00072133"/>
    <w:rsid w:val="00073C38"/>
    <w:rsid w:val="00074DB7"/>
    <w:rsid w:val="000759AD"/>
    <w:rsid w:val="00075C5A"/>
    <w:rsid w:val="000760A0"/>
    <w:rsid w:val="00083059"/>
    <w:rsid w:val="000850A5"/>
    <w:rsid w:val="000864F8"/>
    <w:rsid w:val="00090FF2"/>
    <w:rsid w:val="00091C1E"/>
    <w:rsid w:val="00092F2C"/>
    <w:rsid w:val="00094FEE"/>
    <w:rsid w:val="00096F27"/>
    <w:rsid w:val="000A014B"/>
    <w:rsid w:val="000A1DD5"/>
    <w:rsid w:val="000A4227"/>
    <w:rsid w:val="000A52F7"/>
    <w:rsid w:val="000A5766"/>
    <w:rsid w:val="000A6E88"/>
    <w:rsid w:val="000A7B30"/>
    <w:rsid w:val="000B0CB2"/>
    <w:rsid w:val="000C2E61"/>
    <w:rsid w:val="000C400C"/>
    <w:rsid w:val="000C4887"/>
    <w:rsid w:val="000D0772"/>
    <w:rsid w:val="000D3B0F"/>
    <w:rsid w:val="000D4E15"/>
    <w:rsid w:val="000D57DF"/>
    <w:rsid w:val="000D6FFC"/>
    <w:rsid w:val="000D7B9A"/>
    <w:rsid w:val="000E085D"/>
    <w:rsid w:val="000E2746"/>
    <w:rsid w:val="000E72E2"/>
    <w:rsid w:val="000F0217"/>
    <w:rsid w:val="000F10FE"/>
    <w:rsid w:val="000F176B"/>
    <w:rsid w:val="00104480"/>
    <w:rsid w:val="001055F5"/>
    <w:rsid w:val="00106FC9"/>
    <w:rsid w:val="00110C0C"/>
    <w:rsid w:val="00111222"/>
    <w:rsid w:val="00115718"/>
    <w:rsid w:val="001163F3"/>
    <w:rsid w:val="00116807"/>
    <w:rsid w:val="0011687F"/>
    <w:rsid w:val="0012031A"/>
    <w:rsid w:val="00120334"/>
    <w:rsid w:val="001203C8"/>
    <w:rsid w:val="00125D78"/>
    <w:rsid w:val="00132CFE"/>
    <w:rsid w:val="00133146"/>
    <w:rsid w:val="00140030"/>
    <w:rsid w:val="00141B66"/>
    <w:rsid w:val="0014649E"/>
    <w:rsid w:val="00151213"/>
    <w:rsid w:val="00154829"/>
    <w:rsid w:val="0016120E"/>
    <w:rsid w:val="00163533"/>
    <w:rsid w:val="001649CD"/>
    <w:rsid w:val="00164BAC"/>
    <w:rsid w:val="00165137"/>
    <w:rsid w:val="00170F9D"/>
    <w:rsid w:val="0017378C"/>
    <w:rsid w:val="001740C6"/>
    <w:rsid w:val="001767EE"/>
    <w:rsid w:val="0017770D"/>
    <w:rsid w:val="001778E0"/>
    <w:rsid w:val="00184799"/>
    <w:rsid w:val="00184993"/>
    <w:rsid w:val="0018533A"/>
    <w:rsid w:val="00186D3D"/>
    <w:rsid w:val="00190966"/>
    <w:rsid w:val="00191D6A"/>
    <w:rsid w:val="00196DDF"/>
    <w:rsid w:val="001A103F"/>
    <w:rsid w:val="001B25A6"/>
    <w:rsid w:val="001B2725"/>
    <w:rsid w:val="001C34AB"/>
    <w:rsid w:val="001C3B2C"/>
    <w:rsid w:val="001C5589"/>
    <w:rsid w:val="001F13BA"/>
    <w:rsid w:val="001F2922"/>
    <w:rsid w:val="001F332E"/>
    <w:rsid w:val="002057F7"/>
    <w:rsid w:val="002070F3"/>
    <w:rsid w:val="0021191B"/>
    <w:rsid w:val="002277F6"/>
    <w:rsid w:val="00232126"/>
    <w:rsid w:val="00234F86"/>
    <w:rsid w:val="002352FF"/>
    <w:rsid w:val="0023602B"/>
    <w:rsid w:val="00241F05"/>
    <w:rsid w:val="002435E0"/>
    <w:rsid w:val="0024450F"/>
    <w:rsid w:val="00251EE1"/>
    <w:rsid w:val="002531BF"/>
    <w:rsid w:val="002540C9"/>
    <w:rsid w:val="00254BD4"/>
    <w:rsid w:val="002558A3"/>
    <w:rsid w:val="00256B2B"/>
    <w:rsid w:val="00256CB1"/>
    <w:rsid w:val="002574D4"/>
    <w:rsid w:val="00260BA3"/>
    <w:rsid w:val="00261708"/>
    <w:rsid w:val="002629C7"/>
    <w:rsid w:val="00266068"/>
    <w:rsid w:val="0027539A"/>
    <w:rsid w:val="00281537"/>
    <w:rsid w:val="0029258A"/>
    <w:rsid w:val="00292F8D"/>
    <w:rsid w:val="00293A61"/>
    <w:rsid w:val="00295EA8"/>
    <w:rsid w:val="00295EDB"/>
    <w:rsid w:val="002A018D"/>
    <w:rsid w:val="002A3667"/>
    <w:rsid w:val="002A437A"/>
    <w:rsid w:val="002A67FB"/>
    <w:rsid w:val="002A7708"/>
    <w:rsid w:val="002B0422"/>
    <w:rsid w:val="002B25B6"/>
    <w:rsid w:val="002B5BC4"/>
    <w:rsid w:val="002B7437"/>
    <w:rsid w:val="002B7669"/>
    <w:rsid w:val="002C25C6"/>
    <w:rsid w:val="002C392D"/>
    <w:rsid w:val="002C4512"/>
    <w:rsid w:val="002C49F9"/>
    <w:rsid w:val="002C768D"/>
    <w:rsid w:val="002D7326"/>
    <w:rsid w:val="002E7C72"/>
    <w:rsid w:val="002F29FA"/>
    <w:rsid w:val="002F2F9F"/>
    <w:rsid w:val="002F32A2"/>
    <w:rsid w:val="002F5E87"/>
    <w:rsid w:val="00300A0B"/>
    <w:rsid w:val="00303751"/>
    <w:rsid w:val="00305220"/>
    <w:rsid w:val="003052C7"/>
    <w:rsid w:val="00310010"/>
    <w:rsid w:val="00312D07"/>
    <w:rsid w:val="0031779D"/>
    <w:rsid w:val="00317AA3"/>
    <w:rsid w:val="00317C7B"/>
    <w:rsid w:val="003214C5"/>
    <w:rsid w:val="00330548"/>
    <w:rsid w:val="00345F78"/>
    <w:rsid w:val="00347505"/>
    <w:rsid w:val="00347D96"/>
    <w:rsid w:val="00347EAA"/>
    <w:rsid w:val="00351338"/>
    <w:rsid w:val="00351509"/>
    <w:rsid w:val="00353C01"/>
    <w:rsid w:val="00354B45"/>
    <w:rsid w:val="003576C9"/>
    <w:rsid w:val="00357FB0"/>
    <w:rsid w:val="00360114"/>
    <w:rsid w:val="00363BF0"/>
    <w:rsid w:val="0036523D"/>
    <w:rsid w:val="00372C73"/>
    <w:rsid w:val="00374B1A"/>
    <w:rsid w:val="003776AF"/>
    <w:rsid w:val="00385C4E"/>
    <w:rsid w:val="00394803"/>
    <w:rsid w:val="003970EE"/>
    <w:rsid w:val="003A41E2"/>
    <w:rsid w:val="003A5434"/>
    <w:rsid w:val="003B023B"/>
    <w:rsid w:val="003B346C"/>
    <w:rsid w:val="003B4F75"/>
    <w:rsid w:val="003B5CDE"/>
    <w:rsid w:val="003B6DD8"/>
    <w:rsid w:val="003C3744"/>
    <w:rsid w:val="003C3A86"/>
    <w:rsid w:val="003C7DAD"/>
    <w:rsid w:val="003D1181"/>
    <w:rsid w:val="003D13E2"/>
    <w:rsid w:val="003E347D"/>
    <w:rsid w:val="003E3E09"/>
    <w:rsid w:val="003E4096"/>
    <w:rsid w:val="003E4E6D"/>
    <w:rsid w:val="003F7411"/>
    <w:rsid w:val="00402A95"/>
    <w:rsid w:val="00405BD6"/>
    <w:rsid w:val="00407711"/>
    <w:rsid w:val="00407CFD"/>
    <w:rsid w:val="00412C6E"/>
    <w:rsid w:val="00413A2E"/>
    <w:rsid w:val="00413D48"/>
    <w:rsid w:val="0041515A"/>
    <w:rsid w:val="00423B65"/>
    <w:rsid w:val="00424017"/>
    <w:rsid w:val="0042707F"/>
    <w:rsid w:val="00427425"/>
    <w:rsid w:val="004303BC"/>
    <w:rsid w:val="00435F50"/>
    <w:rsid w:val="00436DB3"/>
    <w:rsid w:val="00437038"/>
    <w:rsid w:val="00441633"/>
    <w:rsid w:val="00441C65"/>
    <w:rsid w:val="00443451"/>
    <w:rsid w:val="004441D5"/>
    <w:rsid w:val="00444363"/>
    <w:rsid w:val="00444B00"/>
    <w:rsid w:val="00445CAE"/>
    <w:rsid w:val="00446C3B"/>
    <w:rsid w:val="00450AC6"/>
    <w:rsid w:val="00451C10"/>
    <w:rsid w:val="00453443"/>
    <w:rsid w:val="0045718B"/>
    <w:rsid w:val="004601E3"/>
    <w:rsid w:val="0046333A"/>
    <w:rsid w:val="004644CD"/>
    <w:rsid w:val="00465317"/>
    <w:rsid w:val="004712AA"/>
    <w:rsid w:val="004819E2"/>
    <w:rsid w:val="004856D8"/>
    <w:rsid w:val="00486B70"/>
    <w:rsid w:val="00493C02"/>
    <w:rsid w:val="004A1AD4"/>
    <w:rsid w:val="004A33D4"/>
    <w:rsid w:val="004A5F95"/>
    <w:rsid w:val="004A64FB"/>
    <w:rsid w:val="004A7452"/>
    <w:rsid w:val="004B3ADA"/>
    <w:rsid w:val="004B4F0A"/>
    <w:rsid w:val="004B7248"/>
    <w:rsid w:val="004C1C0D"/>
    <w:rsid w:val="004C4AD6"/>
    <w:rsid w:val="004D1CCB"/>
    <w:rsid w:val="004D4F14"/>
    <w:rsid w:val="004E2165"/>
    <w:rsid w:val="004E37AC"/>
    <w:rsid w:val="004E6092"/>
    <w:rsid w:val="004F7C06"/>
    <w:rsid w:val="00501B02"/>
    <w:rsid w:val="00506222"/>
    <w:rsid w:val="00515CA4"/>
    <w:rsid w:val="00515E76"/>
    <w:rsid w:val="00522A71"/>
    <w:rsid w:val="00524398"/>
    <w:rsid w:val="00531612"/>
    <w:rsid w:val="00532B35"/>
    <w:rsid w:val="00536572"/>
    <w:rsid w:val="00541ECF"/>
    <w:rsid w:val="005447DD"/>
    <w:rsid w:val="00550B54"/>
    <w:rsid w:val="005526F8"/>
    <w:rsid w:val="00552D39"/>
    <w:rsid w:val="00553910"/>
    <w:rsid w:val="005578AA"/>
    <w:rsid w:val="00560C86"/>
    <w:rsid w:val="00571968"/>
    <w:rsid w:val="00574089"/>
    <w:rsid w:val="00575323"/>
    <w:rsid w:val="00577935"/>
    <w:rsid w:val="0058068D"/>
    <w:rsid w:val="00580808"/>
    <w:rsid w:val="00581617"/>
    <w:rsid w:val="00581842"/>
    <w:rsid w:val="005845D4"/>
    <w:rsid w:val="005854F0"/>
    <w:rsid w:val="00587160"/>
    <w:rsid w:val="00590C0A"/>
    <w:rsid w:val="005A0859"/>
    <w:rsid w:val="005A390F"/>
    <w:rsid w:val="005B17EF"/>
    <w:rsid w:val="005B674A"/>
    <w:rsid w:val="005C11E3"/>
    <w:rsid w:val="005C4647"/>
    <w:rsid w:val="005C673A"/>
    <w:rsid w:val="005C6BE3"/>
    <w:rsid w:val="005D16F9"/>
    <w:rsid w:val="005D2451"/>
    <w:rsid w:val="005D5138"/>
    <w:rsid w:val="005D64C5"/>
    <w:rsid w:val="005D68AA"/>
    <w:rsid w:val="005D7AE2"/>
    <w:rsid w:val="005E101D"/>
    <w:rsid w:val="005E1672"/>
    <w:rsid w:val="005E501F"/>
    <w:rsid w:val="005E5C3A"/>
    <w:rsid w:val="005E6C07"/>
    <w:rsid w:val="005F13D2"/>
    <w:rsid w:val="005F38E4"/>
    <w:rsid w:val="005F7450"/>
    <w:rsid w:val="006124E3"/>
    <w:rsid w:val="00614088"/>
    <w:rsid w:val="006150EF"/>
    <w:rsid w:val="0062019E"/>
    <w:rsid w:val="0062042A"/>
    <w:rsid w:val="00622B89"/>
    <w:rsid w:val="00623771"/>
    <w:rsid w:val="0062546F"/>
    <w:rsid w:val="00630C9B"/>
    <w:rsid w:val="00634D60"/>
    <w:rsid w:val="00657800"/>
    <w:rsid w:val="00661C31"/>
    <w:rsid w:val="00664144"/>
    <w:rsid w:val="00672C6A"/>
    <w:rsid w:val="0068333C"/>
    <w:rsid w:val="006848B4"/>
    <w:rsid w:val="00684939"/>
    <w:rsid w:val="006A250E"/>
    <w:rsid w:val="006A49CC"/>
    <w:rsid w:val="006A7461"/>
    <w:rsid w:val="006A7ACF"/>
    <w:rsid w:val="006C3D7A"/>
    <w:rsid w:val="006C48E4"/>
    <w:rsid w:val="006D3E5F"/>
    <w:rsid w:val="006E18F9"/>
    <w:rsid w:val="006E278F"/>
    <w:rsid w:val="006E39EC"/>
    <w:rsid w:val="006F017B"/>
    <w:rsid w:val="006F0773"/>
    <w:rsid w:val="006F2470"/>
    <w:rsid w:val="006F3A55"/>
    <w:rsid w:val="006F5CB8"/>
    <w:rsid w:val="006F5F0E"/>
    <w:rsid w:val="006F6208"/>
    <w:rsid w:val="006F68A2"/>
    <w:rsid w:val="007071BD"/>
    <w:rsid w:val="00707DCE"/>
    <w:rsid w:val="007113A0"/>
    <w:rsid w:val="00713D20"/>
    <w:rsid w:val="007146C5"/>
    <w:rsid w:val="0071519A"/>
    <w:rsid w:val="0072218D"/>
    <w:rsid w:val="00730634"/>
    <w:rsid w:val="007316B7"/>
    <w:rsid w:val="007316D1"/>
    <w:rsid w:val="00733E33"/>
    <w:rsid w:val="00736AB8"/>
    <w:rsid w:val="00740201"/>
    <w:rsid w:val="00742F6F"/>
    <w:rsid w:val="00757483"/>
    <w:rsid w:val="00757DA7"/>
    <w:rsid w:val="00763E11"/>
    <w:rsid w:val="007674E4"/>
    <w:rsid w:val="007677C2"/>
    <w:rsid w:val="00773D62"/>
    <w:rsid w:val="00774CEC"/>
    <w:rsid w:val="0077713A"/>
    <w:rsid w:val="00782976"/>
    <w:rsid w:val="00783AE2"/>
    <w:rsid w:val="00786E67"/>
    <w:rsid w:val="00787A40"/>
    <w:rsid w:val="00792CC4"/>
    <w:rsid w:val="00792F63"/>
    <w:rsid w:val="00794450"/>
    <w:rsid w:val="00797D6A"/>
    <w:rsid w:val="007A1C81"/>
    <w:rsid w:val="007A1DD1"/>
    <w:rsid w:val="007A2410"/>
    <w:rsid w:val="007B238A"/>
    <w:rsid w:val="007B2E69"/>
    <w:rsid w:val="007B32FB"/>
    <w:rsid w:val="007B64BD"/>
    <w:rsid w:val="007D13FD"/>
    <w:rsid w:val="007D19CE"/>
    <w:rsid w:val="007D4FE3"/>
    <w:rsid w:val="007D5C2B"/>
    <w:rsid w:val="007E3EBF"/>
    <w:rsid w:val="007E4D1E"/>
    <w:rsid w:val="007F17D1"/>
    <w:rsid w:val="007F2E9E"/>
    <w:rsid w:val="00805918"/>
    <w:rsid w:val="00807A7A"/>
    <w:rsid w:val="0082147E"/>
    <w:rsid w:val="00822F81"/>
    <w:rsid w:val="00825DCB"/>
    <w:rsid w:val="00827050"/>
    <w:rsid w:val="00827E54"/>
    <w:rsid w:val="008312A4"/>
    <w:rsid w:val="00831834"/>
    <w:rsid w:val="00833715"/>
    <w:rsid w:val="00833A08"/>
    <w:rsid w:val="0083485F"/>
    <w:rsid w:val="00841029"/>
    <w:rsid w:val="008432E8"/>
    <w:rsid w:val="00844E28"/>
    <w:rsid w:val="00850897"/>
    <w:rsid w:val="008509C3"/>
    <w:rsid w:val="00851153"/>
    <w:rsid w:val="00860043"/>
    <w:rsid w:val="008622FD"/>
    <w:rsid w:val="00862359"/>
    <w:rsid w:val="008666E8"/>
    <w:rsid w:val="00866B4F"/>
    <w:rsid w:val="00877045"/>
    <w:rsid w:val="00880E41"/>
    <w:rsid w:val="00883048"/>
    <w:rsid w:val="0088432E"/>
    <w:rsid w:val="0088464F"/>
    <w:rsid w:val="00884DE4"/>
    <w:rsid w:val="00885158"/>
    <w:rsid w:val="00885186"/>
    <w:rsid w:val="00885C78"/>
    <w:rsid w:val="00885E27"/>
    <w:rsid w:val="00890248"/>
    <w:rsid w:val="008907C7"/>
    <w:rsid w:val="00894C6B"/>
    <w:rsid w:val="00897B7B"/>
    <w:rsid w:val="008A70B2"/>
    <w:rsid w:val="008A773F"/>
    <w:rsid w:val="008B04FE"/>
    <w:rsid w:val="008B0B70"/>
    <w:rsid w:val="008B1960"/>
    <w:rsid w:val="008B1B3F"/>
    <w:rsid w:val="008B25C0"/>
    <w:rsid w:val="008B2C06"/>
    <w:rsid w:val="008B71C0"/>
    <w:rsid w:val="008B7E57"/>
    <w:rsid w:val="008C05D2"/>
    <w:rsid w:val="008C473C"/>
    <w:rsid w:val="008C50D4"/>
    <w:rsid w:val="008D262F"/>
    <w:rsid w:val="008D2AE3"/>
    <w:rsid w:val="008D4040"/>
    <w:rsid w:val="008E0095"/>
    <w:rsid w:val="008E0585"/>
    <w:rsid w:val="008E106B"/>
    <w:rsid w:val="008E31D7"/>
    <w:rsid w:val="008E4350"/>
    <w:rsid w:val="008E5CAE"/>
    <w:rsid w:val="008E62DB"/>
    <w:rsid w:val="008F0C09"/>
    <w:rsid w:val="008F1475"/>
    <w:rsid w:val="008F323A"/>
    <w:rsid w:val="008F615B"/>
    <w:rsid w:val="008F6A45"/>
    <w:rsid w:val="008F794A"/>
    <w:rsid w:val="009026D2"/>
    <w:rsid w:val="00904ED1"/>
    <w:rsid w:val="00912CD1"/>
    <w:rsid w:val="00913087"/>
    <w:rsid w:val="00913F36"/>
    <w:rsid w:val="009152E0"/>
    <w:rsid w:val="00915CCD"/>
    <w:rsid w:val="009203D5"/>
    <w:rsid w:val="009208EC"/>
    <w:rsid w:val="00923B5F"/>
    <w:rsid w:val="0093006B"/>
    <w:rsid w:val="00930951"/>
    <w:rsid w:val="009403DB"/>
    <w:rsid w:val="00941C5D"/>
    <w:rsid w:val="00944BA4"/>
    <w:rsid w:val="00945C1F"/>
    <w:rsid w:val="00946018"/>
    <w:rsid w:val="00946725"/>
    <w:rsid w:val="00946EE5"/>
    <w:rsid w:val="009563DC"/>
    <w:rsid w:val="009619C1"/>
    <w:rsid w:val="009630ED"/>
    <w:rsid w:val="009661CE"/>
    <w:rsid w:val="00966A9A"/>
    <w:rsid w:val="0097391A"/>
    <w:rsid w:val="00974DE2"/>
    <w:rsid w:val="0097517E"/>
    <w:rsid w:val="00977266"/>
    <w:rsid w:val="0097736D"/>
    <w:rsid w:val="00981158"/>
    <w:rsid w:val="00981755"/>
    <w:rsid w:val="00981C5E"/>
    <w:rsid w:val="009821E8"/>
    <w:rsid w:val="00983F44"/>
    <w:rsid w:val="0098557A"/>
    <w:rsid w:val="00987329"/>
    <w:rsid w:val="00987842"/>
    <w:rsid w:val="00990F3E"/>
    <w:rsid w:val="0099141F"/>
    <w:rsid w:val="0099472A"/>
    <w:rsid w:val="009A0193"/>
    <w:rsid w:val="009A2A06"/>
    <w:rsid w:val="009A34B2"/>
    <w:rsid w:val="009A37CA"/>
    <w:rsid w:val="009A4722"/>
    <w:rsid w:val="009A4E1A"/>
    <w:rsid w:val="009B0852"/>
    <w:rsid w:val="009B1D10"/>
    <w:rsid w:val="009C0281"/>
    <w:rsid w:val="009C227E"/>
    <w:rsid w:val="009D3296"/>
    <w:rsid w:val="009D649A"/>
    <w:rsid w:val="009E1CDA"/>
    <w:rsid w:val="009E30D7"/>
    <w:rsid w:val="009E503E"/>
    <w:rsid w:val="009E548C"/>
    <w:rsid w:val="009E664D"/>
    <w:rsid w:val="009F0CA7"/>
    <w:rsid w:val="009F347C"/>
    <w:rsid w:val="009F5A54"/>
    <w:rsid w:val="00A007FA"/>
    <w:rsid w:val="00A00942"/>
    <w:rsid w:val="00A01E96"/>
    <w:rsid w:val="00A03B88"/>
    <w:rsid w:val="00A046C3"/>
    <w:rsid w:val="00A07AC9"/>
    <w:rsid w:val="00A10590"/>
    <w:rsid w:val="00A10EA1"/>
    <w:rsid w:val="00A24E37"/>
    <w:rsid w:val="00A2601F"/>
    <w:rsid w:val="00A33208"/>
    <w:rsid w:val="00A34B37"/>
    <w:rsid w:val="00A408A2"/>
    <w:rsid w:val="00A43D1A"/>
    <w:rsid w:val="00A45B9E"/>
    <w:rsid w:val="00A46E6C"/>
    <w:rsid w:val="00A501B9"/>
    <w:rsid w:val="00A51EF4"/>
    <w:rsid w:val="00A53F53"/>
    <w:rsid w:val="00A55B74"/>
    <w:rsid w:val="00A60339"/>
    <w:rsid w:val="00A63E8E"/>
    <w:rsid w:val="00A66199"/>
    <w:rsid w:val="00A7259F"/>
    <w:rsid w:val="00A7276C"/>
    <w:rsid w:val="00A75A24"/>
    <w:rsid w:val="00A75A4E"/>
    <w:rsid w:val="00A75F16"/>
    <w:rsid w:val="00A77BFC"/>
    <w:rsid w:val="00A91774"/>
    <w:rsid w:val="00A92979"/>
    <w:rsid w:val="00A94ABE"/>
    <w:rsid w:val="00AA2669"/>
    <w:rsid w:val="00AA2A9B"/>
    <w:rsid w:val="00AA598E"/>
    <w:rsid w:val="00AB1B38"/>
    <w:rsid w:val="00AB37D1"/>
    <w:rsid w:val="00AB74D5"/>
    <w:rsid w:val="00AC0946"/>
    <w:rsid w:val="00AC0D65"/>
    <w:rsid w:val="00AC0F3E"/>
    <w:rsid w:val="00AC28C9"/>
    <w:rsid w:val="00AC4690"/>
    <w:rsid w:val="00AD03D5"/>
    <w:rsid w:val="00AD7ED8"/>
    <w:rsid w:val="00AD7F51"/>
    <w:rsid w:val="00AE1FD5"/>
    <w:rsid w:val="00AE35DF"/>
    <w:rsid w:val="00AE4510"/>
    <w:rsid w:val="00AE6C77"/>
    <w:rsid w:val="00AF03ED"/>
    <w:rsid w:val="00AF1E9A"/>
    <w:rsid w:val="00AF5A01"/>
    <w:rsid w:val="00B03078"/>
    <w:rsid w:val="00B03707"/>
    <w:rsid w:val="00B062CE"/>
    <w:rsid w:val="00B077B7"/>
    <w:rsid w:val="00B167BE"/>
    <w:rsid w:val="00B17DFB"/>
    <w:rsid w:val="00B216D3"/>
    <w:rsid w:val="00B218EC"/>
    <w:rsid w:val="00B23183"/>
    <w:rsid w:val="00B25848"/>
    <w:rsid w:val="00B25927"/>
    <w:rsid w:val="00B26D45"/>
    <w:rsid w:val="00B3675A"/>
    <w:rsid w:val="00B376BE"/>
    <w:rsid w:val="00B37871"/>
    <w:rsid w:val="00B40810"/>
    <w:rsid w:val="00B41436"/>
    <w:rsid w:val="00B41646"/>
    <w:rsid w:val="00B42137"/>
    <w:rsid w:val="00B43918"/>
    <w:rsid w:val="00B47F0B"/>
    <w:rsid w:val="00B50655"/>
    <w:rsid w:val="00B51124"/>
    <w:rsid w:val="00B611CA"/>
    <w:rsid w:val="00B63FAB"/>
    <w:rsid w:val="00B70549"/>
    <w:rsid w:val="00B72D06"/>
    <w:rsid w:val="00B730A1"/>
    <w:rsid w:val="00B83454"/>
    <w:rsid w:val="00B86EE3"/>
    <w:rsid w:val="00B9689D"/>
    <w:rsid w:val="00B97F9C"/>
    <w:rsid w:val="00BA26EA"/>
    <w:rsid w:val="00BA3ADF"/>
    <w:rsid w:val="00BB12DF"/>
    <w:rsid w:val="00BB27C8"/>
    <w:rsid w:val="00BB42C2"/>
    <w:rsid w:val="00BB4BA2"/>
    <w:rsid w:val="00BB5BC4"/>
    <w:rsid w:val="00BC60C2"/>
    <w:rsid w:val="00BC7492"/>
    <w:rsid w:val="00BC78B9"/>
    <w:rsid w:val="00BD299E"/>
    <w:rsid w:val="00BD2E8E"/>
    <w:rsid w:val="00BE010D"/>
    <w:rsid w:val="00BE2276"/>
    <w:rsid w:val="00BE2650"/>
    <w:rsid w:val="00BE2B73"/>
    <w:rsid w:val="00BE7457"/>
    <w:rsid w:val="00BF0BF2"/>
    <w:rsid w:val="00BF1E5A"/>
    <w:rsid w:val="00BF36A6"/>
    <w:rsid w:val="00BF53E5"/>
    <w:rsid w:val="00C01D52"/>
    <w:rsid w:val="00C03266"/>
    <w:rsid w:val="00C11BEB"/>
    <w:rsid w:val="00C12564"/>
    <w:rsid w:val="00C142E5"/>
    <w:rsid w:val="00C16AF8"/>
    <w:rsid w:val="00C171F8"/>
    <w:rsid w:val="00C22539"/>
    <w:rsid w:val="00C22D4D"/>
    <w:rsid w:val="00C26BB1"/>
    <w:rsid w:val="00C277A8"/>
    <w:rsid w:val="00C327F6"/>
    <w:rsid w:val="00C3301A"/>
    <w:rsid w:val="00C341B6"/>
    <w:rsid w:val="00C3477E"/>
    <w:rsid w:val="00C35388"/>
    <w:rsid w:val="00C37288"/>
    <w:rsid w:val="00C41CAE"/>
    <w:rsid w:val="00C4214E"/>
    <w:rsid w:val="00C470C6"/>
    <w:rsid w:val="00C479FC"/>
    <w:rsid w:val="00C50E87"/>
    <w:rsid w:val="00C52AD5"/>
    <w:rsid w:val="00C54BF5"/>
    <w:rsid w:val="00C552C8"/>
    <w:rsid w:val="00C55788"/>
    <w:rsid w:val="00C567D8"/>
    <w:rsid w:val="00C57BC6"/>
    <w:rsid w:val="00C60BD6"/>
    <w:rsid w:val="00C6772A"/>
    <w:rsid w:val="00C75FE9"/>
    <w:rsid w:val="00C76850"/>
    <w:rsid w:val="00C83BD7"/>
    <w:rsid w:val="00C85E10"/>
    <w:rsid w:val="00C9295C"/>
    <w:rsid w:val="00CA3E1F"/>
    <w:rsid w:val="00CA44DD"/>
    <w:rsid w:val="00CA57DD"/>
    <w:rsid w:val="00CA6337"/>
    <w:rsid w:val="00CB1C58"/>
    <w:rsid w:val="00CB7A8E"/>
    <w:rsid w:val="00CC23A2"/>
    <w:rsid w:val="00CC7BCD"/>
    <w:rsid w:val="00CD20D5"/>
    <w:rsid w:val="00CD5F03"/>
    <w:rsid w:val="00CD6A9A"/>
    <w:rsid w:val="00CD7A95"/>
    <w:rsid w:val="00CE0803"/>
    <w:rsid w:val="00CE60C5"/>
    <w:rsid w:val="00CF20C5"/>
    <w:rsid w:val="00CF3F97"/>
    <w:rsid w:val="00D020C6"/>
    <w:rsid w:val="00D02D41"/>
    <w:rsid w:val="00D032E1"/>
    <w:rsid w:val="00D04E8F"/>
    <w:rsid w:val="00D0641D"/>
    <w:rsid w:val="00D079D3"/>
    <w:rsid w:val="00D12763"/>
    <w:rsid w:val="00D32994"/>
    <w:rsid w:val="00D40178"/>
    <w:rsid w:val="00D419E3"/>
    <w:rsid w:val="00D46DED"/>
    <w:rsid w:val="00D475AA"/>
    <w:rsid w:val="00D51E0C"/>
    <w:rsid w:val="00D57592"/>
    <w:rsid w:val="00D71B26"/>
    <w:rsid w:val="00D74F85"/>
    <w:rsid w:val="00D77C79"/>
    <w:rsid w:val="00D825AC"/>
    <w:rsid w:val="00D837AA"/>
    <w:rsid w:val="00D84A83"/>
    <w:rsid w:val="00D85D2F"/>
    <w:rsid w:val="00D86A8F"/>
    <w:rsid w:val="00DA0B20"/>
    <w:rsid w:val="00DA2F91"/>
    <w:rsid w:val="00DA7052"/>
    <w:rsid w:val="00DA7664"/>
    <w:rsid w:val="00DB08E2"/>
    <w:rsid w:val="00DB4296"/>
    <w:rsid w:val="00DC00A7"/>
    <w:rsid w:val="00DC6146"/>
    <w:rsid w:val="00DC6E08"/>
    <w:rsid w:val="00DD1C2F"/>
    <w:rsid w:val="00DD3A37"/>
    <w:rsid w:val="00DD7A89"/>
    <w:rsid w:val="00DE2000"/>
    <w:rsid w:val="00DE2DF5"/>
    <w:rsid w:val="00DE4C55"/>
    <w:rsid w:val="00DF02DE"/>
    <w:rsid w:val="00DF0D49"/>
    <w:rsid w:val="00DF241C"/>
    <w:rsid w:val="00E01EC5"/>
    <w:rsid w:val="00E02C0B"/>
    <w:rsid w:val="00E0366C"/>
    <w:rsid w:val="00E055F9"/>
    <w:rsid w:val="00E0682A"/>
    <w:rsid w:val="00E104B9"/>
    <w:rsid w:val="00E146AD"/>
    <w:rsid w:val="00E31669"/>
    <w:rsid w:val="00E41C5B"/>
    <w:rsid w:val="00E44B9E"/>
    <w:rsid w:val="00E50053"/>
    <w:rsid w:val="00E5101C"/>
    <w:rsid w:val="00E528EF"/>
    <w:rsid w:val="00E54608"/>
    <w:rsid w:val="00E56CFD"/>
    <w:rsid w:val="00E602C1"/>
    <w:rsid w:val="00E62A2F"/>
    <w:rsid w:val="00E653E4"/>
    <w:rsid w:val="00E80D65"/>
    <w:rsid w:val="00E87911"/>
    <w:rsid w:val="00E914A7"/>
    <w:rsid w:val="00E9156F"/>
    <w:rsid w:val="00E916CB"/>
    <w:rsid w:val="00E917F9"/>
    <w:rsid w:val="00E91917"/>
    <w:rsid w:val="00E96706"/>
    <w:rsid w:val="00E97060"/>
    <w:rsid w:val="00EA0469"/>
    <w:rsid w:val="00EA4A99"/>
    <w:rsid w:val="00EA73EC"/>
    <w:rsid w:val="00EA76ED"/>
    <w:rsid w:val="00EB6813"/>
    <w:rsid w:val="00EC051F"/>
    <w:rsid w:val="00EC1D47"/>
    <w:rsid w:val="00EC4651"/>
    <w:rsid w:val="00EC7143"/>
    <w:rsid w:val="00ED196A"/>
    <w:rsid w:val="00ED26C8"/>
    <w:rsid w:val="00ED5F23"/>
    <w:rsid w:val="00ED62E4"/>
    <w:rsid w:val="00ED6449"/>
    <w:rsid w:val="00EE0DEB"/>
    <w:rsid w:val="00EE1638"/>
    <w:rsid w:val="00EE2F16"/>
    <w:rsid w:val="00EE4172"/>
    <w:rsid w:val="00EE775C"/>
    <w:rsid w:val="00EF0813"/>
    <w:rsid w:val="00EF50BF"/>
    <w:rsid w:val="00EF7A48"/>
    <w:rsid w:val="00F008E2"/>
    <w:rsid w:val="00F01EBA"/>
    <w:rsid w:val="00F02B2C"/>
    <w:rsid w:val="00F03DDF"/>
    <w:rsid w:val="00F06D44"/>
    <w:rsid w:val="00F104F0"/>
    <w:rsid w:val="00F13115"/>
    <w:rsid w:val="00F21050"/>
    <w:rsid w:val="00F22017"/>
    <w:rsid w:val="00F23577"/>
    <w:rsid w:val="00F23AFA"/>
    <w:rsid w:val="00F270C4"/>
    <w:rsid w:val="00F3023E"/>
    <w:rsid w:val="00F302E6"/>
    <w:rsid w:val="00F30973"/>
    <w:rsid w:val="00F32896"/>
    <w:rsid w:val="00F32C49"/>
    <w:rsid w:val="00F337EC"/>
    <w:rsid w:val="00F34DE9"/>
    <w:rsid w:val="00F400A6"/>
    <w:rsid w:val="00F41F22"/>
    <w:rsid w:val="00F43585"/>
    <w:rsid w:val="00F44203"/>
    <w:rsid w:val="00F5626A"/>
    <w:rsid w:val="00F562C8"/>
    <w:rsid w:val="00F56816"/>
    <w:rsid w:val="00F5748F"/>
    <w:rsid w:val="00F574E8"/>
    <w:rsid w:val="00F64369"/>
    <w:rsid w:val="00F71770"/>
    <w:rsid w:val="00F737E8"/>
    <w:rsid w:val="00F81BD1"/>
    <w:rsid w:val="00F84694"/>
    <w:rsid w:val="00F86A03"/>
    <w:rsid w:val="00F910B2"/>
    <w:rsid w:val="00F91B20"/>
    <w:rsid w:val="00F96D5E"/>
    <w:rsid w:val="00F97FDF"/>
    <w:rsid w:val="00FA4487"/>
    <w:rsid w:val="00FA534E"/>
    <w:rsid w:val="00FA6BAD"/>
    <w:rsid w:val="00FB08C8"/>
    <w:rsid w:val="00FB1480"/>
    <w:rsid w:val="00FB177A"/>
    <w:rsid w:val="00FB1A81"/>
    <w:rsid w:val="00FB2C9C"/>
    <w:rsid w:val="00FB45C3"/>
    <w:rsid w:val="00FB526E"/>
    <w:rsid w:val="00FB66D4"/>
    <w:rsid w:val="00FC4E17"/>
    <w:rsid w:val="00FC7049"/>
    <w:rsid w:val="00FD03D0"/>
    <w:rsid w:val="00FD29AA"/>
    <w:rsid w:val="00FD2E14"/>
    <w:rsid w:val="00FD726D"/>
    <w:rsid w:val="00FD7DE7"/>
    <w:rsid w:val="00FE33CD"/>
    <w:rsid w:val="00FF0D53"/>
    <w:rsid w:val="00FF15AF"/>
    <w:rsid w:val="00FF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674E6"/>
  <w15:docId w15:val="{38A64254-DDC6-4848-B18B-2D8E6C24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8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03B88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A03B88"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rsid w:val="00A03B88"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rsid w:val="00A03B88"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rsid w:val="00A03B88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A03B88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8">
    <w:name w:val="heading 8"/>
    <w:basedOn w:val="Normal"/>
    <w:next w:val="Normal"/>
    <w:qFormat/>
    <w:rsid w:val="00A03B88"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rsid w:val="00A03B88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sid w:val="00A03B88"/>
    <w:rPr>
      <w:sz w:val="20"/>
      <w:szCs w:val="20"/>
    </w:rPr>
  </w:style>
  <w:style w:type="character" w:styleId="FootnoteReference">
    <w:name w:val="footnote reference"/>
    <w:semiHidden/>
    <w:rsid w:val="00A03B88"/>
    <w:rPr>
      <w:vertAlign w:val="superscript"/>
    </w:rPr>
  </w:style>
  <w:style w:type="paragraph" w:styleId="Header">
    <w:name w:val="header"/>
    <w:basedOn w:val="Normal"/>
    <w:rsid w:val="00A03B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03B88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rsid w:val="00A03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3B88"/>
  </w:style>
  <w:style w:type="paragraph" w:styleId="BodyText2">
    <w:name w:val="Body Text 2"/>
    <w:basedOn w:val="Normal"/>
    <w:rsid w:val="00A03B88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A03B88"/>
    <w:pPr>
      <w:framePr w:hSpace="180" w:wrap="around" w:vAnchor="text" w:hAnchor="margin" w:y="121"/>
      <w:suppressOverlap/>
      <w:jc w:val="center"/>
    </w:pPr>
    <w:rPr>
      <w:rFonts w:ascii="Arial" w:eastAsia="Arial Unicode MS" w:hAnsi="Arial" w:cs="Arial"/>
      <w:sz w:val="16"/>
      <w:szCs w:val="12"/>
      <w:lang w:val="sr-Cyrl-CS"/>
    </w:rPr>
  </w:style>
  <w:style w:type="table" w:styleId="TableGrid">
    <w:name w:val="Table Grid"/>
    <w:basedOn w:val="TableNormal"/>
    <w:rsid w:val="006F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7411"/>
    <w:rPr>
      <w:color w:val="0000FF"/>
      <w:u w:val="single"/>
    </w:rPr>
  </w:style>
  <w:style w:type="character" w:styleId="Emphasis">
    <w:name w:val="Emphasis"/>
    <w:qFormat/>
    <w:rsid w:val="00413D48"/>
    <w:rPr>
      <w:i/>
      <w:iCs/>
    </w:rPr>
  </w:style>
  <w:style w:type="paragraph" w:styleId="BalloonText">
    <w:name w:val="Balloon Text"/>
    <w:basedOn w:val="Normal"/>
    <w:semiHidden/>
    <w:rsid w:val="00DF241C"/>
    <w:rPr>
      <w:rFonts w:ascii="Tahoma" w:hAnsi="Tahoma" w:cs="Tahoma"/>
      <w:sz w:val="16"/>
      <w:szCs w:val="16"/>
    </w:rPr>
  </w:style>
  <w:style w:type="character" w:styleId="Strong">
    <w:name w:val="Strong"/>
    <w:qFormat/>
    <w:rsid w:val="00831834"/>
    <w:rPr>
      <w:b/>
      <w:bCs/>
    </w:rPr>
  </w:style>
  <w:style w:type="character" w:customStyle="1" w:styleId="shorttext1">
    <w:name w:val="short_text1"/>
    <w:rsid w:val="00036A77"/>
    <w:rPr>
      <w:sz w:val="14"/>
      <w:szCs w:val="14"/>
    </w:rPr>
  </w:style>
  <w:style w:type="character" w:customStyle="1" w:styleId="longtext1">
    <w:name w:val="long_text1"/>
    <w:rsid w:val="00036A77"/>
    <w:rPr>
      <w:sz w:val="10"/>
      <w:szCs w:val="10"/>
    </w:rPr>
  </w:style>
  <w:style w:type="character" w:customStyle="1" w:styleId="mediumtext1">
    <w:name w:val="medium_text1"/>
    <w:rsid w:val="00036A77"/>
    <w:rPr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5447D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arCar">
    <w:name w:val="Car Car"/>
    <w:basedOn w:val="Normal"/>
    <w:rsid w:val="00190966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TekstMetodologijaiNapomena">
    <w:name w:val="Tekst Metodologija i Napomena"/>
    <w:basedOn w:val="BodyTextFirstIndent"/>
    <w:next w:val="BodyText"/>
    <w:rsid w:val="007B64BD"/>
    <w:pPr>
      <w:spacing w:before="120" w:after="0"/>
      <w:ind w:firstLine="397"/>
      <w:jc w:val="both"/>
    </w:pPr>
    <w:rPr>
      <w:rFonts w:ascii="Arial" w:hAnsi="Arial"/>
      <w:bCs/>
      <w:sz w:val="20"/>
      <w:szCs w:val="20"/>
      <w:lang w:val="sr-Cyrl-CS"/>
    </w:rPr>
  </w:style>
  <w:style w:type="paragraph" w:styleId="BodyTextFirstIndent">
    <w:name w:val="Body Text First Indent"/>
    <w:basedOn w:val="BodyText"/>
    <w:rsid w:val="007B64BD"/>
    <w:pPr>
      <w:tabs>
        <w:tab w:val="clear" w:pos="142"/>
      </w:tabs>
      <w:spacing w:after="120"/>
      <w:ind w:firstLine="210"/>
      <w:jc w:val="left"/>
    </w:pPr>
    <w:rPr>
      <w:rFonts w:ascii="Times New Roman" w:hAnsi="Times New Roman"/>
      <w:sz w:val="24"/>
      <w:szCs w:val="24"/>
      <w:lang w:val="en-US"/>
    </w:rPr>
  </w:style>
  <w:style w:type="paragraph" w:styleId="ListNumber">
    <w:name w:val="List Number"/>
    <w:basedOn w:val="Normal"/>
    <w:semiHidden/>
    <w:rsid w:val="00241F05"/>
    <w:pPr>
      <w:numPr>
        <w:numId w:val="5"/>
      </w:numPr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5C673A"/>
    <w:pPr>
      <w:spacing w:after="120" w:line="480" w:lineRule="auto"/>
      <w:ind w:left="283"/>
    </w:pPr>
  </w:style>
  <w:style w:type="paragraph" w:customStyle="1" w:styleId="Naslovtabela">
    <w:name w:val="Naslov tabela"/>
    <w:basedOn w:val="Normal"/>
    <w:rsid w:val="00531612"/>
    <w:p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table" w:styleId="TableClassic1">
    <w:name w:val="Table Classic 1"/>
    <w:basedOn w:val="TableNormal"/>
    <w:semiHidden/>
    <w:rsid w:val="00C330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Numbering">
    <w:name w:val="Paragraph Numbering"/>
    <w:basedOn w:val="Normal"/>
    <w:rsid w:val="00094FEE"/>
    <w:pPr>
      <w:numPr>
        <w:numId w:val="6"/>
      </w:numPr>
      <w:spacing w:after="240"/>
    </w:pPr>
    <w:rPr>
      <w:rFonts w:eastAsia="SimSun"/>
    </w:rPr>
  </w:style>
  <w:style w:type="paragraph" w:customStyle="1" w:styleId="Naslovsaopstenja">
    <w:name w:val="Naslov saopstenja"/>
    <w:basedOn w:val="Title"/>
    <w:next w:val="Caption"/>
    <w:rsid w:val="00574089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574089"/>
    <w:pPr>
      <w:spacing w:after="120"/>
      <w:jc w:val="center"/>
    </w:pPr>
    <w:rPr>
      <w:rFonts w:ascii="Arial" w:hAnsi="Arial"/>
      <w:b/>
      <w:sz w:val="22"/>
    </w:rPr>
  </w:style>
  <w:style w:type="paragraph" w:styleId="Title">
    <w:name w:val="Title"/>
    <w:basedOn w:val="Normal"/>
    <w:qFormat/>
    <w:rsid w:val="005740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574089"/>
    <w:rPr>
      <w:b/>
      <w:bCs/>
      <w:sz w:val="20"/>
      <w:szCs w:val="20"/>
    </w:rPr>
  </w:style>
  <w:style w:type="paragraph" w:customStyle="1" w:styleId="CharCharCharCharCharChar">
    <w:name w:val="Char Char Char Char Char Char"/>
    <w:basedOn w:val="Normal"/>
    <w:rsid w:val="00BB27C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D032E1"/>
    <w:pPr>
      <w:ind w:left="720"/>
      <w:contextualSpacing/>
    </w:pPr>
  </w:style>
  <w:style w:type="character" w:customStyle="1" w:styleId="publicationtitle1">
    <w:name w:val="publication__title1"/>
    <w:basedOn w:val="DefaultParagraphFont"/>
    <w:rsid w:val="00413A2E"/>
  </w:style>
  <w:style w:type="character" w:styleId="FollowedHyperlink">
    <w:name w:val="FollowedHyperlink"/>
    <w:basedOn w:val="DefaultParagraphFont"/>
    <w:semiHidden/>
    <w:unhideWhenUsed/>
    <w:rsid w:val="00063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ka.djuka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en-US/oblasti/gradjevinarstvo/gradjevinska-aktivnost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rebacivanje\Mira\gradj%2021\saop%20gr.11\2018\grafikon%20za%20saop%20gr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25827908695538"/>
          <c:y val="0.22080883380701674"/>
          <c:w val="0.85837270341207361"/>
          <c:h val="0.49279454843870085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srpski!$E$2:$M$3</c:f>
              <c:multiLvlStrCache>
                <c:ptCount val="9"/>
                <c:lvl>
                  <c:pt idx="0">
                    <c:v>III</c:v>
                  </c:pt>
                  <c:pt idx="1">
                    <c:v>IV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6">
                    <c:v>2018</c:v>
                  </c:pt>
                </c:lvl>
              </c:multiLvlStrCache>
            </c:multiLvlStrRef>
          </c:cat>
          <c:val>
            <c:numRef>
              <c:f>srpski!$E$4:$M$4</c:f>
              <c:numCache>
                <c:formatCode>General</c:formatCode>
                <c:ptCount val="9"/>
                <c:pt idx="0">
                  <c:v>107.2</c:v>
                </c:pt>
                <c:pt idx="1">
                  <c:v>98.7</c:v>
                </c:pt>
                <c:pt idx="2">
                  <c:v>101.3</c:v>
                </c:pt>
                <c:pt idx="3">
                  <c:v>102.2</c:v>
                </c:pt>
                <c:pt idx="4">
                  <c:v>108.9</c:v>
                </c:pt>
                <c:pt idx="5">
                  <c:v>121.1</c:v>
                </c:pt>
                <c:pt idx="6">
                  <c:v>129.80000000000001</c:v>
                </c:pt>
                <c:pt idx="7">
                  <c:v>126.6</c:v>
                </c:pt>
                <c:pt idx="8">
                  <c:v>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52-412C-84FB-D8F0A5031D48}"/>
            </c:ext>
          </c:extLst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srpski!$E$2:$M$3</c:f>
              <c:multiLvlStrCache>
                <c:ptCount val="9"/>
                <c:lvl>
                  <c:pt idx="0">
                    <c:v>III</c:v>
                  </c:pt>
                  <c:pt idx="1">
                    <c:v>IV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</c:lvl>
                <c:lvl>
                  <c:pt idx="0">
                    <c:v>2016</c:v>
                  </c:pt>
                  <c:pt idx="2">
                    <c:v>2017</c:v>
                  </c:pt>
                  <c:pt idx="6">
                    <c:v>2018</c:v>
                  </c:pt>
                </c:lvl>
              </c:multiLvlStrCache>
            </c:multiLvlStrRef>
          </c:cat>
          <c:val>
            <c:numRef>
              <c:f>srpski!$E$5:$M$5</c:f>
              <c:numCache>
                <c:formatCode>General</c:formatCode>
                <c:ptCount val="9"/>
                <c:pt idx="0">
                  <c:v>106.5</c:v>
                </c:pt>
                <c:pt idx="1">
                  <c:v>96.3</c:v>
                </c:pt>
                <c:pt idx="2">
                  <c:v>95.1</c:v>
                </c:pt>
                <c:pt idx="3">
                  <c:v>96</c:v>
                </c:pt>
                <c:pt idx="4">
                  <c:v>106.1</c:v>
                </c:pt>
                <c:pt idx="5">
                  <c:v>118.7</c:v>
                </c:pt>
                <c:pt idx="6">
                  <c:v>129.5</c:v>
                </c:pt>
                <c:pt idx="7">
                  <c:v>125.2</c:v>
                </c:pt>
                <c:pt idx="8">
                  <c:v>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52-412C-84FB-D8F0A5031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1343872"/>
        <c:axId val="131345408"/>
      </c:lineChart>
      <c:catAx>
        <c:axId val="13134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1345408"/>
        <c:crosses val="autoZero"/>
        <c:auto val="1"/>
        <c:lblAlgn val="ctr"/>
        <c:lblOffset val="100"/>
        <c:noMultiLvlLbl val="0"/>
      </c:catAx>
      <c:valAx>
        <c:axId val="13134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13438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0.35625</cdr:x>
      <cdr:y>0.02604</cdr:y>
    </cdr:from>
    <cdr:to>
      <cdr:x>0.55625</cdr:x>
      <cdr:y>0.35938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0.28125</cdr:x>
      <cdr:y>0.08</cdr:y>
    </cdr:from>
    <cdr:to>
      <cdr:x>0.48125</cdr:x>
      <cdr:y>0.336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0.31042</cdr:x>
      <cdr:y>0.07467</cdr:y>
    </cdr:from>
    <cdr:to>
      <cdr:x>0.51042</cdr:x>
      <cdr:y>0.33067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0.17708</cdr:x>
      <cdr:y>0.06667</cdr:y>
    </cdr:from>
    <cdr:to>
      <cdr:x>0.78958</cdr:x>
      <cdr:y>0.128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0.225</cdr:x>
      <cdr:y>0.09867</cdr:y>
    </cdr:from>
    <cdr:to>
      <cdr:x>0.425</cdr:x>
      <cdr:y>0.35467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0.02114</cdr:x>
      <cdr:y>0.01775</cdr:y>
    </cdr:from>
    <cdr:to>
      <cdr:x>1</cdr:x>
      <cdr:y>0.256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Latn-RS" sz="1100" b="1">
              <a:effectLst/>
              <a:latin typeface="+mn-lt"/>
              <a:ea typeface="+mn-ea"/>
              <a:cs typeface="+mn-cs"/>
            </a:rPr>
            <a:t>VALUE INDICES OF WORKS DONE ON THE </a:t>
          </a:r>
          <a:r>
            <a:rPr lang="en-GB" sz="1100" b="1">
              <a:effectLst/>
              <a:latin typeface="+mn-lt"/>
              <a:ea typeface="+mn-ea"/>
              <a:cs typeface="+mn-cs"/>
            </a:rPr>
            <a:t>TERRITORY </a:t>
          </a:r>
          <a:r>
            <a:rPr lang="sr-Latn-RS" sz="1100" b="1">
              <a:effectLst/>
              <a:latin typeface="+mn-lt"/>
              <a:ea typeface="+mn-ea"/>
              <a:cs typeface="+mn-cs"/>
            </a:rPr>
            <a:t>OF THE REPUBLIC OF SERBIA, </a:t>
          </a:r>
          <a:r>
            <a:rPr lang="en-US" sz="1100" b="1">
              <a:effectLst/>
              <a:latin typeface="+mn-lt"/>
              <a:ea typeface="+mn-ea"/>
              <a:cs typeface="+mn-cs"/>
            </a:rPr>
            <a:t>                           </a:t>
          </a:r>
          <a:r>
            <a:rPr lang="sr-Latn-RS" sz="1100" b="1">
              <a:effectLst/>
              <a:latin typeface="+mn-lt"/>
              <a:ea typeface="+mn-ea"/>
              <a:cs typeface="+mn-cs"/>
            </a:rPr>
            <a:t>related to the same quarter of the previous</a:t>
          </a:r>
          <a:r>
            <a:rPr lang="en-US" sz="1100" b="1">
              <a:effectLst/>
              <a:latin typeface="+mn-lt"/>
              <a:ea typeface="+mn-ea"/>
              <a:cs typeface="+mn-cs"/>
            </a:rPr>
            <a:t> year</a:t>
          </a:r>
          <a:r>
            <a:rPr lang="en-US" sz="1000">
              <a:effectLst/>
            </a:rPr>
            <a:t> </a:t>
          </a:r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7CC9-E3EA-4773-8599-09F4554A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3513</CharactersWithSpaces>
  <SharedDoc>false</SharedDoc>
  <HLinks>
    <vt:vector size="12" baseType="variant">
      <vt:variant>
        <vt:i4>8126532</vt:i4>
      </vt:variant>
      <vt:variant>
        <vt:i4>3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Milka Djuka</cp:lastModifiedBy>
  <cp:revision>7</cp:revision>
  <cp:lastPrinted>2017-05-09T11:22:00Z</cp:lastPrinted>
  <dcterms:created xsi:type="dcterms:W3CDTF">2018-11-08T08:11:00Z</dcterms:created>
  <dcterms:modified xsi:type="dcterms:W3CDTF">2018-12-04T07:45:00Z</dcterms:modified>
</cp:coreProperties>
</file>