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B72316" w:rsidRPr="00B97C30">
        <w:trPr>
          <w:cantSplit/>
          <w:trHeight w:val="631"/>
          <w:jc w:val="center"/>
        </w:trPr>
        <w:tc>
          <w:tcPr>
            <w:tcW w:w="812" w:type="pct"/>
            <w:tcBorders>
              <w:top w:val="single" w:sz="12" w:space="0" w:color="808080"/>
              <w:left w:val="nil"/>
              <w:bottom w:val="nil"/>
            </w:tcBorders>
            <w:vAlign w:val="center"/>
          </w:tcPr>
          <w:p w:rsidR="00B72316" w:rsidRPr="00B97C30" w:rsidRDefault="00B72316" w:rsidP="00C149A4">
            <w:pPr>
              <w:rPr>
                <w:rFonts w:cs="Arial"/>
                <w:szCs w:val="20"/>
              </w:rPr>
            </w:pPr>
            <w:r w:rsidRPr="00B97C30">
              <w:rPr>
                <w:sz w:val="8"/>
                <w:szCs w:val="8"/>
              </w:rPr>
              <w:t xml:space="preserve">                    </w:t>
            </w:r>
            <w:r w:rsidR="00381063" w:rsidRPr="00B97C30">
              <w:rPr>
                <w:noProof/>
                <w:lang w:val="en-US"/>
              </w:rPr>
              <w:drawing>
                <wp:anchor distT="0" distB="0" distL="114300" distR="114300" simplePos="0" relativeHeight="251654656"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B97C30">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56BCCF"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Pr="00B97C30" w:rsidRDefault="00226CCA" w:rsidP="00555B3F">
            <w:pPr>
              <w:rPr>
                <w:rFonts w:cs="Arial"/>
                <w:szCs w:val="20"/>
              </w:rPr>
            </w:pPr>
            <w:r w:rsidRPr="00B97C30">
              <w:rPr>
                <w:rFonts w:cs="Arial"/>
                <w:szCs w:val="20"/>
              </w:rPr>
              <w:t>Republic of Serbia</w:t>
            </w:r>
          </w:p>
          <w:p w:rsidR="00B72316" w:rsidRPr="00B97C30" w:rsidRDefault="00B72316" w:rsidP="00555B3F">
            <w:pPr>
              <w:rPr>
                <w:rFonts w:cs="Arial"/>
                <w:szCs w:val="20"/>
              </w:rPr>
            </w:pPr>
            <w:r w:rsidRPr="00B97C30">
              <w:rPr>
                <w:rFonts w:cs="Arial"/>
                <w:szCs w:val="20"/>
              </w:rPr>
              <w:t>Statistical Office of the Republic of Serbia</w:t>
            </w:r>
          </w:p>
        </w:tc>
        <w:tc>
          <w:tcPr>
            <w:tcW w:w="0" w:type="auto"/>
            <w:tcBorders>
              <w:top w:val="single" w:sz="12" w:space="0" w:color="808080"/>
              <w:bottom w:val="nil"/>
              <w:right w:val="nil"/>
            </w:tcBorders>
            <w:vAlign w:val="center"/>
          </w:tcPr>
          <w:p w:rsidR="00B72316" w:rsidRPr="00B97C30" w:rsidRDefault="00B72316" w:rsidP="006E7AF4">
            <w:pPr>
              <w:jc w:val="right"/>
              <w:rPr>
                <w:rFonts w:cs="Arial"/>
                <w:b/>
                <w:szCs w:val="20"/>
              </w:rPr>
            </w:pPr>
            <w:r w:rsidRPr="00B97C30">
              <w:rPr>
                <w:rFonts w:cs="Arial"/>
                <w:szCs w:val="20"/>
              </w:rPr>
              <w:t>ISSN 0353-9555</w:t>
            </w:r>
          </w:p>
        </w:tc>
      </w:tr>
      <w:tr w:rsidR="00B72316" w:rsidRPr="00B97C30">
        <w:trPr>
          <w:cantSplit/>
          <w:trHeight w:val="836"/>
          <w:jc w:val="center"/>
        </w:trPr>
        <w:tc>
          <w:tcPr>
            <w:tcW w:w="0" w:type="auto"/>
            <w:gridSpan w:val="2"/>
            <w:tcBorders>
              <w:top w:val="nil"/>
              <w:left w:val="nil"/>
              <w:right w:val="nil"/>
            </w:tcBorders>
            <w:vAlign w:val="center"/>
          </w:tcPr>
          <w:p w:rsidR="00B72316" w:rsidRPr="00B97C30" w:rsidRDefault="00B72316" w:rsidP="00555B3F">
            <w:pPr>
              <w:rPr>
                <w:szCs w:val="20"/>
              </w:rPr>
            </w:pPr>
            <w:r w:rsidRPr="00B97C30">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B97C30" w:rsidRDefault="00B72316" w:rsidP="00E763CD">
            <w:pPr>
              <w:jc w:val="right"/>
              <w:rPr>
                <w:b/>
                <w:sz w:val="48"/>
                <w:szCs w:val="48"/>
              </w:rPr>
            </w:pPr>
            <w:r w:rsidRPr="00B97C30">
              <w:rPr>
                <w:rFonts w:cs="Arial"/>
                <w:b/>
                <w:color w:val="808080"/>
                <w:sz w:val="48"/>
                <w:szCs w:val="48"/>
              </w:rPr>
              <w:t>GR30</w:t>
            </w:r>
          </w:p>
        </w:tc>
      </w:tr>
      <w:tr w:rsidR="00B72316" w:rsidRPr="00B97C30">
        <w:trPr>
          <w:cantSplit/>
          <w:trHeight w:hRule="exact" w:val="279"/>
          <w:jc w:val="center"/>
        </w:trPr>
        <w:tc>
          <w:tcPr>
            <w:tcW w:w="0" w:type="auto"/>
            <w:gridSpan w:val="2"/>
            <w:tcBorders>
              <w:top w:val="nil"/>
              <w:left w:val="nil"/>
              <w:bottom w:val="nil"/>
              <w:right w:val="nil"/>
            </w:tcBorders>
            <w:vAlign w:val="bottom"/>
          </w:tcPr>
          <w:p w:rsidR="00B72316" w:rsidRPr="00B97C30" w:rsidRDefault="00B72316" w:rsidP="006631FB">
            <w:pPr>
              <w:rPr>
                <w:rFonts w:cs="Arial"/>
                <w:szCs w:val="20"/>
              </w:rPr>
            </w:pPr>
            <w:r w:rsidRPr="00B97C30">
              <w:rPr>
                <w:rFonts w:cs="Arial"/>
                <w:szCs w:val="20"/>
              </w:rPr>
              <w:t xml:space="preserve">Number </w:t>
            </w:r>
            <w:r w:rsidR="006631FB" w:rsidRPr="00B97C30">
              <w:rPr>
                <w:rFonts w:cs="Arial"/>
                <w:szCs w:val="20"/>
              </w:rPr>
              <w:t>199</w:t>
            </w:r>
            <w:r w:rsidR="00761AB1" w:rsidRPr="00B97C30">
              <w:rPr>
                <w:rFonts w:cs="Arial"/>
                <w:szCs w:val="20"/>
              </w:rPr>
              <w:t xml:space="preserve"> </w:t>
            </w:r>
            <w:r w:rsidRPr="00B97C30">
              <w:rPr>
                <w:rFonts w:cs="Arial"/>
                <w:szCs w:val="20"/>
              </w:rPr>
              <w:t>– Year L</w:t>
            </w:r>
            <w:r w:rsidR="001A33EB" w:rsidRPr="00B97C30">
              <w:rPr>
                <w:rFonts w:cs="Arial"/>
                <w:szCs w:val="20"/>
              </w:rPr>
              <w:t>XV</w:t>
            </w:r>
            <w:r w:rsidR="001407FA" w:rsidRPr="00B97C30">
              <w:rPr>
                <w:rFonts w:cs="Arial"/>
                <w:szCs w:val="20"/>
              </w:rPr>
              <w:t>I</w:t>
            </w:r>
            <w:r w:rsidR="00DF74B0" w:rsidRPr="00B97C30">
              <w:rPr>
                <w:rFonts w:cs="Arial"/>
                <w:szCs w:val="20"/>
              </w:rPr>
              <w:t>I</w:t>
            </w:r>
            <w:r w:rsidR="00226FE1" w:rsidRPr="00B97C30">
              <w:rPr>
                <w:rFonts w:cs="Arial"/>
                <w:szCs w:val="20"/>
              </w:rPr>
              <w:t>I</w:t>
            </w:r>
            <w:r w:rsidRPr="00B97C30">
              <w:rPr>
                <w:rFonts w:cs="Arial"/>
                <w:szCs w:val="20"/>
              </w:rPr>
              <w:t xml:space="preserve">, </w:t>
            </w:r>
            <w:r w:rsidR="00285C3C" w:rsidRPr="00B97C30">
              <w:rPr>
                <w:rFonts w:cs="Arial"/>
                <w:szCs w:val="20"/>
              </w:rPr>
              <w:t>1</w:t>
            </w:r>
            <w:r w:rsidR="006631FB" w:rsidRPr="00B97C30">
              <w:rPr>
                <w:rFonts w:cs="Arial"/>
                <w:szCs w:val="20"/>
              </w:rPr>
              <w:t>6</w:t>
            </w:r>
            <w:r w:rsidRPr="00B97C30">
              <w:rPr>
                <w:rFonts w:cs="Arial"/>
                <w:szCs w:val="20"/>
              </w:rPr>
              <w:t>/</w:t>
            </w:r>
            <w:r w:rsidR="00DF74B0" w:rsidRPr="00B97C30">
              <w:rPr>
                <w:rFonts w:cs="Arial"/>
                <w:szCs w:val="20"/>
              </w:rPr>
              <w:t>0</w:t>
            </w:r>
            <w:r w:rsidR="006631FB" w:rsidRPr="00B97C30">
              <w:rPr>
                <w:rFonts w:cs="Arial"/>
                <w:szCs w:val="20"/>
              </w:rPr>
              <w:t>7</w:t>
            </w:r>
            <w:r w:rsidRPr="00B97C30">
              <w:rPr>
                <w:rFonts w:cs="Arial"/>
                <w:szCs w:val="20"/>
              </w:rPr>
              <w:t>/</w:t>
            </w:r>
            <w:r w:rsidR="00761AB1" w:rsidRPr="00B97C30">
              <w:rPr>
                <w:rFonts w:cs="Arial"/>
                <w:szCs w:val="20"/>
              </w:rPr>
              <w:t>201</w:t>
            </w:r>
            <w:r w:rsidR="00DF74B0" w:rsidRPr="00B97C30">
              <w:rPr>
                <w:rFonts w:cs="Arial"/>
                <w:szCs w:val="20"/>
              </w:rPr>
              <w:t>8</w:t>
            </w:r>
          </w:p>
        </w:tc>
        <w:tc>
          <w:tcPr>
            <w:tcW w:w="0" w:type="auto"/>
            <w:tcBorders>
              <w:left w:val="nil"/>
              <w:bottom w:val="nil"/>
              <w:right w:val="nil"/>
            </w:tcBorders>
            <w:shd w:val="clear" w:color="auto" w:fill="auto"/>
            <w:vAlign w:val="center"/>
          </w:tcPr>
          <w:p w:rsidR="00B72316" w:rsidRPr="00B97C30" w:rsidRDefault="00B72316" w:rsidP="002338F2">
            <w:pPr>
              <w:jc w:val="right"/>
              <w:rPr>
                <w:rFonts w:cs="Arial"/>
                <w:szCs w:val="20"/>
              </w:rPr>
            </w:pPr>
          </w:p>
        </w:tc>
      </w:tr>
      <w:tr w:rsidR="00B72316" w:rsidRPr="00B97C30">
        <w:trPr>
          <w:cantSplit/>
          <w:trHeight w:val="411"/>
          <w:jc w:val="center"/>
        </w:trPr>
        <w:tc>
          <w:tcPr>
            <w:tcW w:w="0" w:type="auto"/>
            <w:gridSpan w:val="2"/>
            <w:tcBorders>
              <w:top w:val="nil"/>
              <w:left w:val="nil"/>
              <w:bottom w:val="single" w:sz="12" w:space="0" w:color="808080"/>
              <w:right w:val="nil"/>
            </w:tcBorders>
            <w:vAlign w:val="center"/>
          </w:tcPr>
          <w:p w:rsidR="00B72316" w:rsidRPr="00B97C30" w:rsidRDefault="00B72316" w:rsidP="00555B3F">
            <w:pPr>
              <w:rPr>
                <w:b/>
                <w:bCs/>
                <w:sz w:val="24"/>
              </w:rPr>
            </w:pPr>
            <w:r w:rsidRPr="00B97C30">
              <w:rPr>
                <w:rFonts w:cs="Arial"/>
                <w:b/>
                <w:sz w:val="24"/>
              </w:rPr>
              <w:t>Construction Statistics</w:t>
            </w:r>
          </w:p>
        </w:tc>
        <w:tc>
          <w:tcPr>
            <w:tcW w:w="0" w:type="auto"/>
            <w:tcBorders>
              <w:top w:val="nil"/>
              <w:left w:val="nil"/>
              <w:bottom w:val="single" w:sz="12" w:space="0" w:color="808080"/>
              <w:right w:val="nil"/>
            </w:tcBorders>
            <w:vAlign w:val="center"/>
          </w:tcPr>
          <w:p w:rsidR="00B72316" w:rsidRPr="00B97C30" w:rsidRDefault="00B72316" w:rsidP="006631FB">
            <w:pPr>
              <w:jc w:val="right"/>
              <w:rPr>
                <w:szCs w:val="20"/>
              </w:rPr>
            </w:pPr>
            <w:r w:rsidRPr="00B97C30">
              <w:rPr>
                <w:szCs w:val="20"/>
              </w:rPr>
              <w:t>SERB</w:t>
            </w:r>
            <w:r w:rsidR="00260C42" w:rsidRPr="00B97C30">
              <w:rPr>
                <w:szCs w:val="20"/>
              </w:rPr>
              <w:t>1</w:t>
            </w:r>
            <w:r w:rsidR="006631FB" w:rsidRPr="00B97C30">
              <w:rPr>
                <w:szCs w:val="20"/>
              </w:rPr>
              <w:t>99</w:t>
            </w:r>
            <w:r w:rsidRPr="00B97C30">
              <w:rPr>
                <w:szCs w:val="20"/>
              </w:rPr>
              <w:t xml:space="preserve"> GR30 </w:t>
            </w:r>
            <w:r w:rsidR="006631FB" w:rsidRPr="00B97C30">
              <w:rPr>
                <w:szCs w:val="20"/>
              </w:rPr>
              <w:t>160718</w:t>
            </w:r>
          </w:p>
        </w:tc>
      </w:tr>
    </w:tbl>
    <w:p w:rsidR="00A7556A" w:rsidRPr="00B97C30" w:rsidRDefault="00A7556A" w:rsidP="006A7E8E"/>
    <w:p w:rsidR="00B72316" w:rsidRPr="000F31AE" w:rsidRDefault="00B72316" w:rsidP="00B72316">
      <w:pPr>
        <w:spacing w:before="600" w:after="120"/>
        <w:jc w:val="center"/>
        <w:rPr>
          <w:rFonts w:cs="Arial"/>
          <w:b/>
          <w:bCs/>
          <w:sz w:val="24"/>
        </w:rPr>
      </w:pPr>
      <w:r w:rsidRPr="000F31AE">
        <w:rPr>
          <w:rFonts w:cs="Arial"/>
          <w:b/>
          <w:bCs/>
          <w:sz w:val="24"/>
        </w:rPr>
        <w:t xml:space="preserve">Issued building permits, </w:t>
      </w:r>
      <w:r w:rsidR="00C50295" w:rsidRPr="000F31AE">
        <w:rPr>
          <w:rFonts w:cs="Arial"/>
          <w:b/>
          <w:bCs/>
          <w:sz w:val="24"/>
        </w:rPr>
        <w:t xml:space="preserve">May </w:t>
      </w:r>
      <w:r w:rsidRPr="000F31AE">
        <w:rPr>
          <w:rFonts w:cs="Arial"/>
          <w:b/>
          <w:bCs/>
          <w:sz w:val="24"/>
        </w:rPr>
        <w:t>201</w:t>
      </w:r>
      <w:r w:rsidR="00E66105" w:rsidRPr="000F31AE">
        <w:rPr>
          <w:rFonts w:cs="Arial"/>
          <w:b/>
          <w:bCs/>
          <w:sz w:val="24"/>
        </w:rPr>
        <w:t>8</w:t>
      </w:r>
      <w:r w:rsidRPr="000F31AE">
        <w:rPr>
          <w:rFonts w:cs="Arial"/>
          <w:b/>
          <w:bCs/>
          <w:sz w:val="24"/>
        </w:rPr>
        <w:t xml:space="preserve">  </w:t>
      </w:r>
    </w:p>
    <w:p w:rsidR="00B72316" w:rsidRPr="000F31AE" w:rsidRDefault="00B72316" w:rsidP="00B72316">
      <w:pPr>
        <w:jc w:val="center"/>
        <w:rPr>
          <w:rFonts w:cs="Arial"/>
          <w:b/>
          <w:bCs/>
          <w:sz w:val="22"/>
          <w:szCs w:val="22"/>
        </w:rPr>
      </w:pPr>
      <w:r w:rsidRPr="000F31AE">
        <w:rPr>
          <w:rFonts w:cs="Arial"/>
          <w:b/>
          <w:bCs/>
          <w:sz w:val="22"/>
          <w:szCs w:val="22"/>
        </w:rPr>
        <w:t>– Preliminary results –</w:t>
      </w:r>
    </w:p>
    <w:p w:rsidR="00FC6CE0" w:rsidRPr="000F31AE" w:rsidRDefault="0042567C" w:rsidP="0042567C">
      <w:pPr>
        <w:pStyle w:val="TekstMetodologijaiNapomena"/>
        <w:tabs>
          <w:tab w:val="left" w:pos="4485"/>
        </w:tabs>
        <w:spacing w:after="120"/>
        <w:rPr>
          <w:lang w:val="en-GB"/>
        </w:rPr>
      </w:pPr>
      <w:r w:rsidRPr="000F31AE">
        <w:rPr>
          <w:lang w:val="en-GB"/>
        </w:rPr>
        <w:tab/>
      </w:r>
    </w:p>
    <w:p w:rsidR="00B72316" w:rsidRPr="00D77C79" w:rsidRDefault="00B72316" w:rsidP="00745652">
      <w:pPr>
        <w:spacing w:before="120" w:after="120"/>
        <w:ind w:firstLine="397"/>
        <w:jc w:val="both"/>
        <w:rPr>
          <w:rFonts w:cs="Arial"/>
          <w:szCs w:val="20"/>
        </w:rPr>
      </w:pPr>
      <w:r w:rsidRPr="00D77C79">
        <w:rPr>
          <w:rFonts w:cs="Arial"/>
          <w:szCs w:val="20"/>
        </w:rPr>
        <w:t xml:space="preserve">In </w:t>
      </w:r>
      <w:r w:rsidR="00C50295" w:rsidRPr="00D77C79">
        <w:rPr>
          <w:rFonts w:cs="Arial"/>
          <w:szCs w:val="20"/>
        </w:rPr>
        <w:t>May</w:t>
      </w:r>
      <w:r w:rsidR="00C75CD7" w:rsidRPr="00D77C79">
        <w:rPr>
          <w:rFonts w:cs="Arial"/>
          <w:szCs w:val="20"/>
        </w:rPr>
        <w:t xml:space="preserve"> </w:t>
      </w:r>
      <w:r w:rsidRPr="00D77C79">
        <w:rPr>
          <w:rFonts w:cs="Arial"/>
          <w:szCs w:val="20"/>
        </w:rPr>
        <w:t>201</w:t>
      </w:r>
      <w:r w:rsidR="00E66105" w:rsidRPr="00D77C79">
        <w:rPr>
          <w:rFonts w:cs="Arial"/>
          <w:szCs w:val="20"/>
        </w:rPr>
        <w:t>8</w:t>
      </w:r>
      <w:r w:rsidRPr="00D77C79">
        <w:rPr>
          <w:rFonts w:cs="Arial"/>
          <w:szCs w:val="20"/>
        </w:rPr>
        <w:t xml:space="preserve">, </w:t>
      </w:r>
      <w:r w:rsidR="009F094E" w:rsidRPr="00D77C79">
        <w:rPr>
          <w:rFonts w:cs="Arial"/>
          <w:szCs w:val="20"/>
        </w:rPr>
        <w:t>1</w:t>
      </w:r>
      <w:r w:rsidR="00C50295" w:rsidRPr="00D77C79">
        <w:rPr>
          <w:rFonts w:cs="Arial"/>
          <w:szCs w:val="20"/>
        </w:rPr>
        <w:t>721</w:t>
      </w:r>
      <w:r w:rsidR="00586A01" w:rsidRPr="00D77C79">
        <w:rPr>
          <w:rFonts w:cs="Arial"/>
          <w:szCs w:val="20"/>
        </w:rPr>
        <w:t xml:space="preserve"> </w:t>
      </w:r>
      <w:r w:rsidRPr="00D77C79">
        <w:rPr>
          <w:rFonts w:cs="Arial"/>
          <w:szCs w:val="20"/>
        </w:rPr>
        <w:t xml:space="preserve">building permits were issued, presenting </w:t>
      </w:r>
      <w:r w:rsidR="00FB4BAD" w:rsidRPr="00D77C79">
        <w:rPr>
          <w:rFonts w:cs="Arial"/>
          <w:szCs w:val="20"/>
        </w:rPr>
        <w:t>the</w:t>
      </w:r>
      <w:r w:rsidR="00B04F79" w:rsidRPr="00D77C79">
        <w:rPr>
          <w:rFonts w:cs="Arial"/>
          <w:szCs w:val="20"/>
        </w:rPr>
        <w:t xml:space="preserve"> </w:t>
      </w:r>
      <w:r w:rsidR="004B6F23" w:rsidRPr="00D77C79">
        <w:rPr>
          <w:rFonts w:cs="Arial"/>
          <w:szCs w:val="20"/>
        </w:rPr>
        <w:t>in</w:t>
      </w:r>
      <w:r w:rsidR="00FC6CE0" w:rsidRPr="00D77C79">
        <w:rPr>
          <w:rFonts w:cs="Arial"/>
          <w:szCs w:val="20"/>
        </w:rPr>
        <w:t>crease</w:t>
      </w:r>
      <w:r w:rsidR="00B04F79" w:rsidRPr="00D77C79">
        <w:rPr>
          <w:rFonts w:cs="Arial"/>
          <w:szCs w:val="20"/>
        </w:rPr>
        <w:t xml:space="preserve"> of </w:t>
      </w:r>
      <w:r w:rsidR="00C50295" w:rsidRPr="00D77C79">
        <w:rPr>
          <w:rFonts w:cs="Arial"/>
          <w:szCs w:val="20"/>
        </w:rPr>
        <w:t>6</w:t>
      </w:r>
      <w:r w:rsidR="00E56CF0" w:rsidRPr="00D77C79">
        <w:rPr>
          <w:rFonts w:cs="Arial"/>
          <w:szCs w:val="20"/>
        </w:rPr>
        <w:t>.</w:t>
      </w:r>
      <w:r w:rsidR="00C50295" w:rsidRPr="00D77C79">
        <w:rPr>
          <w:rFonts w:cs="Arial"/>
          <w:szCs w:val="20"/>
        </w:rPr>
        <w:t>6</w:t>
      </w:r>
      <w:r w:rsidR="00B04F79" w:rsidRPr="00D77C79">
        <w:rPr>
          <w:rFonts w:cs="Arial"/>
          <w:szCs w:val="20"/>
        </w:rPr>
        <w:t>%</w:t>
      </w:r>
      <w:r w:rsidR="008015DA" w:rsidRPr="00D77C79">
        <w:rPr>
          <w:rFonts w:cs="Arial"/>
          <w:szCs w:val="20"/>
        </w:rPr>
        <w:t xml:space="preserve"> in</w:t>
      </w:r>
      <w:r w:rsidRPr="00D77C79">
        <w:rPr>
          <w:rFonts w:cs="Arial"/>
          <w:szCs w:val="20"/>
        </w:rPr>
        <w:t xml:space="preserve"> </w:t>
      </w:r>
      <w:r w:rsidR="008015DA" w:rsidRPr="00D77C79">
        <w:rPr>
          <w:rFonts w:cs="Arial"/>
          <w:szCs w:val="20"/>
        </w:rPr>
        <w:t xml:space="preserve">relation with </w:t>
      </w:r>
      <w:r w:rsidR="00C50295" w:rsidRPr="00D77C79">
        <w:rPr>
          <w:rFonts w:cs="Arial"/>
          <w:szCs w:val="20"/>
        </w:rPr>
        <w:t>May</w:t>
      </w:r>
      <w:r w:rsidR="008015DA" w:rsidRPr="00D77C79">
        <w:rPr>
          <w:rFonts w:cs="Arial"/>
          <w:szCs w:val="20"/>
        </w:rPr>
        <w:t xml:space="preserve"> 201</w:t>
      </w:r>
      <w:r w:rsidR="00E66105" w:rsidRPr="00D77C79">
        <w:rPr>
          <w:rFonts w:cs="Arial"/>
          <w:szCs w:val="20"/>
        </w:rPr>
        <w:t>7</w:t>
      </w:r>
      <w:r w:rsidRPr="00D77C79">
        <w:rPr>
          <w:rFonts w:cs="Arial"/>
          <w:szCs w:val="20"/>
        </w:rPr>
        <w:t xml:space="preserve">. Index of anticipated value of works in </w:t>
      </w:r>
      <w:r w:rsidR="00C50295" w:rsidRPr="00D77C79">
        <w:rPr>
          <w:rFonts w:cs="Arial"/>
          <w:szCs w:val="20"/>
        </w:rPr>
        <w:t>May</w:t>
      </w:r>
      <w:r w:rsidR="00E56CF0" w:rsidRPr="00D77C79">
        <w:rPr>
          <w:rFonts w:cs="Arial"/>
          <w:szCs w:val="20"/>
        </w:rPr>
        <w:t xml:space="preserve"> </w:t>
      </w:r>
      <w:r w:rsidR="00530721" w:rsidRPr="00D77C79">
        <w:rPr>
          <w:rFonts w:cs="Arial"/>
          <w:szCs w:val="20"/>
        </w:rPr>
        <w:t>201</w:t>
      </w:r>
      <w:r w:rsidR="00E66105" w:rsidRPr="00D77C79">
        <w:rPr>
          <w:rFonts w:cs="Arial"/>
          <w:szCs w:val="20"/>
        </w:rPr>
        <w:t>8</w:t>
      </w:r>
      <w:r w:rsidRPr="00D77C79">
        <w:rPr>
          <w:rFonts w:cs="Arial"/>
          <w:szCs w:val="20"/>
        </w:rPr>
        <w:t xml:space="preserve"> is by </w:t>
      </w:r>
      <w:r w:rsidR="00C50295" w:rsidRPr="00D77C79">
        <w:rPr>
          <w:rFonts w:cs="Arial"/>
          <w:szCs w:val="20"/>
        </w:rPr>
        <w:t>44</w:t>
      </w:r>
      <w:r w:rsidR="004B6F23" w:rsidRPr="00D77C79">
        <w:rPr>
          <w:rFonts w:cs="Arial"/>
          <w:szCs w:val="20"/>
        </w:rPr>
        <w:t>.</w:t>
      </w:r>
      <w:r w:rsidR="00C50295" w:rsidRPr="00D77C79">
        <w:rPr>
          <w:rFonts w:cs="Arial"/>
          <w:szCs w:val="20"/>
        </w:rPr>
        <w:t>5</w:t>
      </w:r>
      <w:r w:rsidRPr="00D77C79">
        <w:rPr>
          <w:rFonts w:cs="Arial"/>
          <w:szCs w:val="20"/>
        </w:rPr>
        <w:t xml:space="preserve">% </w:t>
      </w:r>
      <w:r w:rsidR="009F28F9" w:rsidRPr="00D77C79">
        <w:rPr>
          <w:rFonts w:cs="Arial"/>
          <w:szCs w:val="20"/>
        </w:rPr>
        <w:t>high</w:t>
      </w:r>
      <w:r w:rsidR="009825C5" w:rsidRPr="00D77C79">
        <w:rPr>
          <w:rFonts w:cs="Arial"/>
          <w:szCs w:val="20"/>
        </w:rPr>
        <w:t>er</w:t>
      </w:r>
      <w:r w:rsidRPr="00D77C79">
        <w:rPr>
          <w:rFonts w:cs="Arial"/>
          <w:szCs w:val="20"/>
        </w:rPr>
        <w:t xml:space="preserve"> than in </w:t>
      </w:r>
      <w:r w:rsidR="00C50295" w:rsidRPr="00D77C79">
        <w:rPr>
          <w:rFonts w:cs="Arial"/>
          <w:szCs w:val="20"/>
        </w:rPr>
        <w:t>May</w:t>
      </w:r>
      <w:r w:rsidRPr="00D77C79">
        <w:rPr>
          <w:rFonts w:cs="Arial"/>
          <w:szCs w:val="20"/>
        </w:rPr>
        <w:t xml:space="preserve"> 201</w:t>
      </w:r>
      <w:r w:rsidR="00E66105" w:rsidRPr="00D77C79">
        <w:rPr>
          <w:rFonts w:cs="Arial"/>
          <w:szCs w:val="20"/>
        </w:rPr>
        <w:t>7</w:t>
      </w:r>
      <w:r w:rsidRPr="00D77C79">
        <w:rPr>
          <w:rFonts w:cs="Arial"/>
          <w:szCs w:val="20"/>
        </w:rPr>
        <w:t>.</w:t>
      </w:r>
      <w:r w:rsidR="00D50BEF" w:rsidRPr="00D77C79">
        <w:rPr>
          <w:rFonts w:cs="Arial"/>
          <w:szCs w:val="20"/>
        </w:rPr>
        <w:t xml:space="preserve">  </w:t>
      </w:r>
      <w:r w:rsidR="00F52827" w:rsidRPr="00D77C79">
        <w:rPr>
          <w:rFonts w:cs="Arial"/>
          <w:szCs w:val="20"/>
        </w:rPr>
        <w:t xml:space="preserve"> </w:t>
      </w:r>
      <w:r w:rsidRPr="00D77C79">
        <w:rPr>
          <w:rFonts w:cs="Arial"/>
          <w:szCs w:val="20"/>
        </w:rPr>
        <w:t xml:space="preserve"> </w:t>
      </w:r>
    </w:p>
    <w:p w:rsidR="00B72316" w:rsidRPr="00D77C79" w:rsidRDefault="00B72316" w:rsidP="00452F36">
      <w:pPr>
        <w:spacing w:before="120" w:after="120"/>
        <w:ind w:firstLine="397"/>
        <w:jc w:val="both"/>
        <w:rPr>
          <w:rFonts w:cs="Arial"/>
          <w:szCs w:val="20"/>
        </w:rPr>
      </w:pPr>
      <w:r w:rsidRPr="00D77C79">
        <w:rPr>
          <w:rFonts w:cs="Arial"/>
          <w:szCs w:val="20"/>
        </w:rPr>
        <w:t xml:space="preserve">Observed by types of constructions, in </w:t>
      </w:r>
      <w:r w:rsidR="00C50295" w:rsidRPr="00D77C79">
        <w:rPr>
          <w:rFonts w:cs="Arial"/>
          <w:szCs w:val="20"/>
        </w:rPr>
        <w:t>May</w:t>
      </w:r>
      <w:r w:rsidR="00C56504" w:rsidRPr="00D77C79">
        <w:rPr>
          <w:rFonts w:cs="Arial"/>
          <w:szCs w:val="20"/>
        </w:rPr>
        <w:t xml:space="preserve"> </w:t>
      </w:r>
      <w:r w:rsidRPr="00D77C79">
        <w:rPr>
          <w:rFonts w:cs="Arial"/>
          <w:szCs w:val="20"/>
        </w:rPr>
        <w:t>201</w:t>
      </w:r>
      <w:r w:rsidR="00E66105" w:rsidRPr="00D77C79">
        <w:rPr>
          <w:rFonts w:cs="Arial"/>
          <w:szCs w:val="20"/>
        </w:rPr>
        <w:t>8</w:t>
      </w:r>
      <w:r w:rsidRPr="00D77C79">
        <w:rPr>
          <w:rFonts w:cs="Arial"/>
          <w:szCs w:val="20"/>
        </w:rPr>
        <w:t xml:space="preserve">, </w:t>
      </w:r>
      <w:r w:rsidR="00B26172" w:rsidRPr="00D77C79">
        <w:rPr>
          <w:rFonts w:cs="Arial"/>
          <w:szCs w:val="20"/>
        </w:rPr>
        <w:t>7</w:t>
      </w:r>
      <w:r w:rsidR="00C50295" w:rsidRPr="00D77C79">
        <w:rPr>
          <w:rFonts w:cs="Arial"/>
          <w:szCs w:val="20"/>
        </w:rPr>
        <w:t>6</w:t>
      </w:r>
      <w:r w:rsidR="00E56CF0" w:rsidRPr="00D77C79">
        <w:rPr>
          <w:rFonts w:cs="Arial"/>
          <w:szCs w:val="20"/>
        </w:rPr>
        <w:t>.</w:t>
      </w:r>
      <w:r w:rsidR="00C50295" w:rsidRPr="00D77C79">
        <w:rPr>
          <w:rFonts w:cs="Arial"/>
          <w:szCs w:val="20"/>
        </w:rPr>
        <w:t>3</w:t>
      </w:r>
      <w:r w:rsidRPr="00D77C79">
        <w:rPr>
          <w:rFonts w:cs="Arial"/>
          <w:szCs w:val="20"/>
        </w:rPr>
        <w:t xml:space="preserve">% of issued permits related to buildings and </w:t>
      </w:r>
      <w:r w:rsidR="00B26172" w:rsidRPr="00D77C79">
        <w:rPr>
          <w:rFonts w:cs="Arial"/>
          <w:szCs w:val="20"/>
        </w:rPr>
        <w:t>2</w:t>
      </w:r>
      <w:r w:rsidR="00C50295" w:rsidRPr="00D77C79">
        <w:rPr>
          <w:rFonts w:cs="Arial"/>
          <w:szCs w:val="20"/>
        </w:rPr>
        <w:t>3</w:t>
      </w:r>
      <w:r w:rsidR="00E56CF0" w:rsidRPr="00D77C79">
        <w:rPr>
          <w:rFonts w:cs="Arial"/>
          <w:szCs w:val="20"/>
        </w:rPr>
        <w:t>.</w:t>
      </w:r>
      <w:r w:rsidR="00C50295" w:rsidRPr="00D77C79">
        <w:rPr>
          <w:rFonts w:cs="Arial"/>
          <w:szCs w:val="20"/>
        </w:rPr>
        <w:t>7</w:t>
      </w:r>
      <w:r w:rsidRPr="00D77C79">
        <w:rPr>
          <w:rFonts w:cs="Arial"/>
          <w:szCs w:val="20"/>
        </w:rPr>
        <w:t xml:space="preserve">% to civil engineering. When referring only to buildings, </w:t>
      </w:r>
      <w:r w:rsidR="00C50295" w:rsidRPr="00D77C79">
        <w:rPr>
          <w:rFonts w:cs="Arial"/>
          <w:szCs w:val="20"/>
        </w:rPr>
        <w:t>62</w:t>
      </w:r>
      <w:r w:rsidR="00E56CF0" w:rsidRPr="00D77C79">
        <w:rPr>
          <w:rFonts w:cs="Arial"/>
          <w:szCs w:val="20"/>
        </w:rPr>
        <w:t>.</w:t>
      </w:r>
      <w:r w:rsidR="00C50295" w:rsidRPr="00D77C79">
        <w:rPr>
          <w:rFonts w:cs="Arial"/>
          <w:szCs w:val="20"/>
        </w:rPr>
        <w:t>2</w:t>
      </w:r>
      <w:r w:rsidR="00B04F79" w:rsidRPr="00D77C79">
        <w:rPr>
          <w:rFonts w:cs="Arial"/>
          <w:szCs w:val="20"/>
        </w:rPr>
        <w:t>%</w:t>
      </w:r>
      <w:r w:rsidRPr="00D77C79">
        <w:rPr>
          <w:rFonts w:cs="Arial"/>
          <w:szCs w:val="20"/>
        </w:rPr>
        <w:t xml:space="preserve"> related to residential buildings and </w:t>
      </w:r>
      <w:r w:rsidR="00C50295" w:rsidRPr="00D77C79">
        <w:rPr>
          <w:rFonts w:cs="Arial"/>
          <w:szCs w:val="20"/>
        </w:rPr>
        <w:t>37</w:t>
      </w:r>
      <w:r w:rsidR="00E56CF0" w:rsidRPr="00D77C79">
        <w:rPr>
          <w:rFonts w:cs="Arial"/>
          <w:szCs w:val="20"/>
        </w:rPr>
        <w:t>.</w:t>
      </w:r>
      <w:r w:rsidR="00C50295" w:rsidRPr="00D77C79">
        <w:rPr>
          <w:rFonts w:cs="Arial"/>
          <w:szCs w:val="20"/>
        </w:rPr>
        <w:t>8</w:t>
      </w:r>
      <w:r w:rsidRPr="00D77C79">
        <w:rPr>
          <w:rFonts w:cs="Arial"/>
          <w:szCs w:val="20"/>
        </w:rPr>
        <w:t xml:space="preserve">% to non–residential ones, while regarding civil engineering, the largest number related to pipelines, communication and electric power lines </w:t>
      </w:r>
      <w:r w:rsidR="008D0BE0" w:rsidRPr="00D77C79">
        <w:rPr>
          <w:rFonts w:cs="Arial"/>
          <w:szCs w:val="20"/>
        </w:rPr>
        <w:t>(</w:t>
      </w:r>
      <w:r w:rsidR="00C50295" w:rsidRPr="00D77C79">
        <w:rPr>
          <w:rFonts w:cs="Arial"/>
          <w:szCs w:val="20"/>
        </w:rPr>
        <w:t>61.5</w:t>
      </w:r>
      <w:r w:rsidRPr="00D77C79">
        <w:rPr>
          <w:rFonts w:cs="Arial"/>
          <w:szCs w:val="20"/>
        </w:rPr>
        <w:t>%</w:t>
      </w:r>
      <w:r w:rsidR="008D0BE0" w:rsidRPr="00D77C79">
        <w:rPr>
          <w:rFonts w:cs="Arial"/>
          <w:szCs w:val="20"/>
        </w:rPr>
        <w:t>)</w:t>
      </w:r>
      <w:r w:rsidRPr="00D77C79">
        <w:rPr>
          <w:rFonts w:cs="Arial"/>
          <w:szCs w:val="20"/>
        </w:rPr>
        <w:t xml:space="preserve">.   </w:t>
      </w:r>
    </w:p>
    <w:p w:rsidR="0038577E" w:rsidRPr="00D77C79" w:rsidRDefault="0038577E" w:rsidP="0038577E">
      <w:pPr>
        <w:pStyle w:val="TekstMetodologijaiNapomena"/>
        <w:spacing w:after="120"/>
        <w:rPr>
          <w:vertAlign w:val="superscript"/>
          <w:lang w:val="en-GB"/>
        </w:rPr>
      </w:pPr>
      <w:r w:rsidRPr="00D77C79">
        <w:rPr>
          <w:lang w:val="en-GB"/>
        </w:rPr>
        <w:t xml:space="preserve">On the basis of the number of issued permits in </w:t>
      </w:r>
      <w:r w:rsidR="00C50295" w:rsidRPr="00D77C79">
        <w:rPr>
          <w:rFonts w:cs="Arial"/>
          <w:lang w:val="en-GB"/>
        </w:rPr>
        <w:t>May</w:t>
      </w:r>
      <w:r w:rsidRPr="00D77C79">
        <w:rPr>
          <w:lang w:val="en-GB"/>
        </w:rPr>
        <w:t xml:space="preserve"> 2018, building of </w:t>
      </w:r>
      <w:r w:rsidR="00C8788A" w:rsidRPr="00D77C79">
        <w:rPr>
          <w:lang w:val="en-GB"/>
        </w:rPr>
        <w:t>2</w:t>
      </w:r>
      <w:r w:rsidR="00C50295" w:rsidRPr="00D77C79">
        <w:rPr>
          <w:lang w:val="en-GB"/>
        </w:rPr>
        <w:t xml:space="preserve"> 485</w:t>
      </w:r>
      <w:r w:rsidRPr="00D77C79">
        <w:rPr>
          <w:lang w:val="en-GB"/>
        </w:rPr>
        <w:t xml:space="preserve"> dwellings with average area of </w:t>
      </w:r>
      <w:r w:rsidR="00FB35F4" w:rsidRPr="00D77C79">
        <w:rPr>
          <w:lang w:val="en-GB"/>
        </w:rPr>
        <w:t>76.6</w:t>
      </w:r>
      <w:r w:rsidRPr="00D77C79">
        <w:rPr>
          <w:lang w:val="en-GB"/>
        </w:rPr>
        <w:t xml:space="preserve"> m</w:t>
      </w:r>
      <w:r w:rsidRPr="00D77C79">
        <w:rPr>
          <w:vertAlign w:val="superscript"/>
          <w:lang w:val="en-GB"/>
        </w:rPr>
        <w:t xml:space="preserve">2 </w:t>
      </w:r>
      <w:r w:rsidRPr="00D77C79">
        <w:rPr>
          <w:lang w:val="en-GB"/>
        </w:rPr>
        <w:t xml:space="preserve">was recorded. Number of dwellings increased, according to the issued permits, by </w:t>
      </w:r>
      <w:r w:rsidR="00C50295" w:rsidRPr="00D77C79">
        <w:rPr>
          <w:lang w:val="en-GB"/>
        </w:rPr>
        <w:t>35</w:t>
      </w:r>
      <w:r w:rsidRPr="00D77C79">
        <w:rPr>
          <w:lang w:val="en-GB"/>
        </w:rPr>
        <w:t>.</w:t>
      </w:r>
      <w:r w:rsidR="00C50295" w:rsidRPr="00D77C79">
        <w:rPr>
          <w:lang w:val="en-GB"/>
        </w:rPr>
        <w:t>1</w:t>
      </w:r>
      <w:r w:rsidRPr="00D77C79">
        <w:rPr>
          <w:lang w:val="en-GB"/>
        </w:rPr>
        <w:t xml:space="preserve">% when compared to </w:t>
      </w:r>
      <w:r w:rsidR="00C50295" w:rsidRPr="00D77C79">
        <w:rPr>
          <w:rFonts w:cs="Arial"/>
          <w:lang w:val="en-GB"/>
        </w:rPr>
        <w:t>May</w:t>
      </w:r>
      <w:r w:rsidRPr="00D77C79">
        <w:rPr>
          <w:lang w:val="en-GB"/>
        </w:rPr>
        <w:t xml:space="preserve"> 2017. Out of the total number of dwellings in new residential buildings, 1</w:t>
      </w:r>
      <w:r w:rsidR="00C50295" w:rsidRPr="00D77C79">
        <w:rPr>
          <w:lang w:val="en-GB"/>
        </w:rPr>
        <w:t>0</w:t>
      </w:r>
      <w:r w:rsidRPr="00D77C79">
        <w:rPr>
          <w:lang w:val="en-GB"/>
        </w:rPr>
        <w:t>.</w:t>
      </w:r>
      <w:r w:rsidR="00C50295" w:rsidRPr="00D77C79">
        <w:rPr>
          <w:lang w:val="en-GB"/>
        </w:rPr>
        <w:t>2</w:t>
      </w:r>
      <w:r w:rsidRPr="00D77C79">
        <w:rPr>
          <w:lang w:val="en-GB"/>
        </w:rPr>
        <w:t>% of dwellings will be built in single – dwelling bu</w:t>
      </w:r>
      <w:r w:rsidR="00CA63CA" w:rsidRPr="00D77C79">
        <w:rPr>
          <w:lang w:val="en-GB"/>
        </w:rPr>
        <w:t>ildings, with average area of 1</w:t>
      </w:r>
      <w:r w:rsidR="00C50295" w:rsidRPr="00D77C79">
        <w:rPr>
          <w:lang w:val="en-GB"/>
        </w:rPr>
        <w:t>61</w:t>
      </w:r>
      <w:r w:rsidRPr="00D77C79">
        <w:rPr>
          <w:lang w:val="en-GB"/>
        </w:rPr>
        <w:t>.</w:t>
      </w:r>
      <w:r w:rsidR="00C50295" w:rsidRPr="00D77C79">
        <w:rPr>
          <w:lang w:val="en-GB"/>
        </w:rPr>
        <w:t>5</w:t>
      </w:r>
      <w:r w:rsidRPr="00D77C79">
        <w:rPr>
          <w:lang w:val="en-GB"/>
        </w:rPr>
        <w:t xml:space="preserve"> m</w:t>
      </w:r>
      <w:r w:rsidRPr="00D77C79">
        <w:rPr>
          <w:vertAlign w:val="superscript"/>
          <w:lang w:val="en-GB"/>
        </w:rPr>
        <w:t>2</w:t>
      </w:r>
      <w:r w:rsidRPr="00D77C79">
        <w:rPr>
          <w:lang w:val="en-GB"/>
        </w:rPr>
        <w:t>, while 8</w:t>
      </w:r>
      <w:r w:rsidR="00C50295" w:rsidRPr="00D77C79">
        <w:rPr>
          <w:lang w:val="en-GB"/>
        </w:rPr>
        <w:t>9</w:t>
      </w:r>
      <w:r w:rsidRPr="00D77C79">
        <w:rPr>
          <w:lang w:val="en-GB"/>
        </w:rPr>
        <w:t>.</w:t>
      </w:r>
      <w:r w:rsidR="00C50295" w:rsidRPr="00D77C79">
        <w:rPr>
          <w:lang w:val="en-GB"/>
        </w:rPr>
        <w:t>1</w:t>
      </w:r>
      <w:r w:rsidRPr="00D77C79">
        <w:rPr>
          <w:lang w:val="en-GB"/>
        </w:rPr>
        <w:t>% of dwellings will be in the buildings with three and more dwellings, with significantly smaller average area of 6</w:t>
      </w:r>
      <w:r w:rsidR="00FB35F4" w:rsidRPr="00D77C79">
        <w:rPr>
          <w:lang w:val="en-GB"/>
        </w:rPr>
        <w:t>4.2</w:t>
      </w:r>
      <w:r w:rsidRPr="00D77C79">
        <w:rPr>
          <w:lang w:val="en-GB"/>
        </w:rPr>
        <w:t xml:space="preserve"> m</w:t>
      </w:r>
      <w:r w:rsidRPr="00D77C79">
        <w:rPr>
          <w:vertAlign w:val="superscript"/>
          <w:lang w:val="en-GB"/>
        </w:rPr>
        <w:t>2</w:t>
      </w:r>
      <w:r w:rsidRPr="00D77C79">
        <w:rPr>
          <w:lang w:val="en-GB"/>
        </w:rPr>
        <w:t xml:space="preserve">. </w:t>
      </w:r>
      <w:r w:rsidRPr="00D77C79">
        <w:rPr>
          <w:vertAlign w:val="superscript"/>
          <w:lang w:val="en-GB"/>
        </w:rPr>
        <w:t xml:space="preserve"> </w:t>
      </w:r>
    </w:p>
    <w:p w:rsidR="00827757" w:rsidRPr="000F31AE" w:rsidRDefault="00B72316" w:rsidP="00B72316">
      <w:pPr>
        <w:spacing w:before="120" w:after="120"/>
        <w:ind w:firstLine="397"/>
        <w:jc w:val="both"/>
      </w:pPr>
      <w:r w:rsidRPr="00D77C79">
        <w:rPr>
          <w:rFonts w:cs="Arial"/>
          <w:szCs w:val="20"/>
        </w:rPr>
        <w:t xml:space="preserve">Anticipated value of works on new building in </w:t>
      </w:r>
      <w:r w:rsidR="00C50295" w:rsidRPr="00D77C79">
        <w:rPr>
          <w:rFonts w:cs="Arial"/>
          <w:szCs w:val="20"/>
        </w:rPr>
        <w:t>May</w:t>
      </w:r>
      <w:r w:rsidR="00F01B07" w:rsidRPr="00D77C79">
        <w:rPr>
          <w:rFonts w:cs="Arial"/>
          <w:szCs w:val="20"/>
        </w:rPr>
        <w:t xml:space="preserve"> </w:t>
      </w:r>
      <w:r w:rsidRPr="00D77C79">
        <w:rPr>
          <w:rFonts w:cs="Arial"/>
          <w:szCs w:val="20"/>
        </w:rPr>
        <w:t>201</w:t>
      </w:r>
      <w:r w:rsidR="00E66105" w:rsidRPr="00D77C79">
        <w:rPr>
          <w:rFonts w:cs="Arial"/>
          <w:szCs w:val="20"/>
        </w:rPr>
        <w:t>8</w:t>
      </w:r>
      <w:r w:rsidRPr="00D77C79">
        <w:rPr>
          <w:rFonts w:cs="Arial"/>
          <w:szCs w:val="20"/>
        </w:rPr>
        <w:t xml:space="preserve"> amounts to </w:t>
      </w:r>
      <w:r w:rsidR="00C50295" w:rsidRPr="00D77C79">
        <w:rPr>
          <w:rFonts w:cs="Arial"/>
          <w:szCs w:val="20"/>
        </w:rPr>
        <w:t>67</w:t>
      </w:r>
      <w:r w:rsidR="009F28F9" w:rsidRPr="00D77C79">
        <w:rPr>
          <w:rFonts w:cs="Arial"/>
          <w:szCs w:val="20"/>
        </w:rPr>
        <w:t>.</w:t>
      </w:r>
      <w:r w:rsidR="00CA63CA" w:rsidRPr="00D77C79">
        <w:rPr>
          <w:rFonts w:cs="Arial"/>
          <w:szCs w:val="20"/>
        </w:rPr>
        <w:t>4</w:t>
      </w:r>
      <w:r w:rsidRPr="00D77C79">
        <w:rPr>
          <w:rFonts w:cs="Arial"/>
          <w:szCs w:val="20"/>
        </w:rPr>
        <w:t xml:space="preserve">% of totally anticipated value of </w:t>
      </w:r>
      <w:r w:rsidR="00E000A4" w:rsidRPr="00D77C79">
        <w:rPr>
          <w:rFonts w:cs="Arial"/>
          <w:szCs w:val="20"/>
        </w:rPr>
        <w:t>works</w:t>
      </w:r>
      <w:r w:rsidR="002A6568" w:rsidRPr="00D77C79">
        <w:rPr>
          <w:rFonts w:cs="Arial"/>
          <w:szCs w:val="20"/>
        </w:rPr>
        <w:t>.</w:t>
      </w:r>
      <w:r w:rsidR="00E000A4" w:rsidRPr="00D77C79">
        <w:rPr>
          <w:rFonts w:cs="Arial"/>
          <w:szCs w:val="20"/>
        </w:rPr>
        <w:t xml:space="preserve"> </w:t>
      </w:r>
      <w:r w:rsidRPr="00D77C79">
        <w:rPr>
          <w:rFonts w:cs="Arial"/>
          <w:szCs w:val="20"/>
        </w:rPr>
        <w:t xml:space="preserve">Observed by </w:t>
      </w:r>
      <w:r w:rsidR="00530721" w:rsidRPr="00D77C79">
        <w:rPr>
          <w:rFonts w:cs="Arial"/>
          <w:szCs w:val="20"/>
        </w:rPr>
        <w:t>areas</w:t>
      </w:r>
      <w:r w:rsidRPr="00D77C79">
        <w:rPr>
          <w:rFonts w:cs="Arial"/>
          <w:szCs w:val="20"/>
        </w:rPr>
        <w:t xml:space="preserve">, the greatest construction activity was noted in </w:t>
      </w:r>
      <w:r w:rsidR="00C50295" w:rsidRPr="00D77C79">
        <w:rPr>
          <w:rFonts w:cs="Arial"/>
          <w:szCs w:val="20"/>
        </w:rPr>
        <w:t xml:space="preserve">Beogradska oblast, 32.4% of the anticipated value of new construction followed by Južnobačka oblast, 8.2%, Jablanicka oblast, 8.1%, Raska oblast, 6.7% and Severnobacka oblast, 5.9%, </w:t>
      </w:r>
      <w:r w:rsidR="003E504F" w:rsidRPr="00D77C79">
        <w:rPr>
          <w:rFonts w:cs="Arial"/>
          <w:szCs w:val="20"/>
        </w:rPr>
        <w:t>while</w:t>
      </w:r>
      <w:r w:rsidRPr="00D77C79">
        <w:rPr>
          <w:rFonts w:cs="Arial"/>
          <w:szCs w:val="20"/>
        </w:rPr>
        <w:t xml:space="preserve"> the shares of other </w:t>
      </w:r>
      <w:r w:rsidR="00724EBA" w:rsidRPr="00D77C79">
        <w:rPr>
          <w:rFonts w:cs="Arial"/>
          <w:szCs w:val="20"/>
        </w:rPr>
        <w:t>area</w:t>
      </w:r>
      <w:r w:rsidRPr="00D77C79">
        <w:rPr>
          <w:rFonts w:cs="Arial"/>
          <w:szCs w:val="20"/>
        </w:rPr>
        <w:t xml:space="preserve">s </w:t>
      </w:r>
      <w:r w:rsidR="00E36C46" w:rsidRPr="00D77C79">
        <w:rPr>
          <w:rFonts w:cs="Arial"/>
          <w:szCs w:val="20"/>
        </w:rPr>
        <w:t>were</w:t>
      </w:r>
      <w:r w:rsidR="00D66118" w:rsidRPr="00D77C79">
        <w:rPr>
          <w:rFonts w:cs="Arial"/>
          <w:szCs w:val="20"/>
        </w:rPr>
        <w:t xml:space="preserve"> </w:t>
      </w:r>
      <w:r w:rsidR="00E66105" w:rsidRPr="00D77C79">
        <w:rPr>
          <w:rFonts w:cs="Arial"/>
          <w:szCs w:val="20"/>
        </w:rPr>
        <w:t xml:space="preserve">from 0.1% </w:t>
      </w:r>
      <w:r w:rsidR="00E36C46" w:rsidRPr="00D77C79">
        <w:rPr>
          <w:rFonts w:cs="Arial"/>
          <w:szCs w:val="20"/>
        </w:rPr>
        <w:t>up</w:t>
      </w:r>
      <w:r w:rsidR="00D66118" w:rsidRPr="00D77C79">
        <w:rPr>
          <w:rFonts w:cs="Arial"/>
          <w:szCs w:val="20"/>
        </w:rPr>
        <w:t xml:space="preserve"> to </w:t>
      </w:r>
      <w:r w:rsidR="00C50295" w:rsidRPr="00D77C79">
        <w:rPr>
          <w:rFonts w:cs="Arial"/>
          <w:szCs w:val="20"/>
        </w:rPr>
        <w:t>4</w:t>
      </w:r>
      <w:r w:rsidR="00F403CE" w:rsidRPr="00D77C79">
        <w:rPr>
          <w:rFonts w:cs="Arial"/>
          <w:szCs w:val="20"/>
        </w:rPr>
        <w:t>.</w:t>
      </w:r>
      <w:r w:rsidR="00C50295" w:rsidRPr="00D77C79">
        <w:rPr>
          <w:rFonts w:cs="Arial"/>
          <w:szCs w:val="20"/>
        </w:rPr>
        <w:t>2</w:t>
      </w:r>
      <w:r w:rsidR="00E36C46" w:rsidRPr="00D77C79">
        <w:rPr>
          <w:rFonts w:cs="Arial"/>
          <w:szCs w:val="20"/>
        </w:rPr>
        <w:t>%</w:t>
      </w:r>
      <w:r w:rsidR="00A1029D" w:rsidRPr="00D77C79">
        <w:rPr>
          <w:rFonts w:cs="Arial"/>
          <w:szCs w:val="20"/>
        </w:rPr>
        <w:t>.</w:t>
      </w:r>
      <w:r w:rsidR="00B76E7A" w:rsidRPr="000F31AE">
        <w:t xml:space="preserve"> </w:t>
      </w:r>
    </w:p>
    <w:p w:rsidR="00F3738E" w:rsidRPr="00B97C30" w:rsidRDefault="0014467A" w:rsidP="00B72316">
      <w:pPr>
        <w:spacing w:before="120" w:after="120"/>
        <w:ind w:firstLine="397"/>
        <w:jc w:val="both"/>
        <w:rPr>
          <w:color w:val="FF0000"/>
        </w:rPr>
      </w:pPr>
      <w:r>
        <w:rPr>
          <w:color w:val="FF0000"/>
        </w:rPr>
        <w:tab/>
      </w:r>
      <w:r>
        <w:rPr>
          <w:color w:val="FF0000"/>
        </w:rPr>
        <w:tab/>
      </w:r>
      <w:r>
        <w:rPr>
          <w:color w:val="FF0000"/>
        </w:rPr>
        <w:tab/>
      </w:r>
      <w:r>
        <w:rPr>
          <w:color w:val="FF0000"/>
        </w:rPr>
        <w:tab/>
      </w:r>
      <w:r>
        <w:rPr>
          <w:color w:val="FF0000"/>
        </w:rPr>
        <w:tab/>
      </w:r>
      <w:r>
        <w:rPr>
          <w:color w:val="FF0000"/>
        </w:rPr>
        <w:tab/>
      </w:r>
      <w:r>
        <w:rPr>
          <w:noProof/>
          <w:lang w:val="en-US"/>
        </w:rPr>
        <w:drawing>
          <wp:inline distT="0" distB="0" distL="0" distR="0" wp14:anchorId="08215DC8" wp14:editId="35ACA0FD">
            <wp:extent cx="6480175" cy="4021455"/>
            <wp:effectExtent l="0" t="0" r="15875" b="171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180A" w:rsidRDefault="00AB180A">
      <w:pPr>
        <w:rPr>
          <w:rFonts w:cs="Arial"/>
          <w:b/>
          <w:bCs/>
          <w:szCs w:val="20"/>
        </w:rPr>
      </w:pPr>
    </w:p>
    <w:p w:rsidR="002C0158" w:rsidRPr="00B97C30" w:rsidRDefault="00F764F7" w:rsidP="002C0158">
      <w:pPr>
        <w:spacing w:before="120" w:after="120"/>
        <w:jc w:val="center"/>
        <w:rPr>
          <w:rFonts w:cs="Arial"/>
          <w:b/>
          <w:bCs/>
          <w:szCs w:val="20"/>
        </w:rPr>
      </w:pPr>
      <w:r w:rsidRPr="00B97C30">
        <w:rPr>
          <w:rFonts w:cs="Arial"/>
          <w:b/>
          <w:bCs/>
          <w:szCs w:val="20"/>
        </w:rPr>
        <w:t>Indices of issued building permits in the Republic of Serbia</w:t>
      </w:r>
    </w:p>
    <w:tbl>
      <w:tblPr>
        <w:tblW w:w="0" w:type="auto"/>
        <w:jc w:val="center"/>
        <w:tblCellMar>
          <w:left w:w="28" w:type="dxa"/>
          <w:right w:w="216" w:type="dxa"/>
        </w:tblCellMar>
        <w:tblLook w:val="01E0" w:firstRow="1" w:lastRow="1" w:firstColumn="1" w:lastColumn="1" w:noHBand="0" w:noVBand="0"/>
      </w:tblPr>
      <w:tblGrid>
        <w:gridCol w:w="3448"/>
        <w:gridCol w:w="1483"/>
        <w:gridCol w:w="1483"/>
        <w:gridCol w:w="1483"/>
        <w:gridCol w:w="1407"/>
      </w:tblGrid>
      <w:tr w:rsidR="006631FB" w:rsidRPr="00B97C30" w:rsidTr="00F248C9">
        <w:trPr>
          <w:trHeight w:val="937"/>
          <w:jc w:val="center"/>
        </w:trPr>
        <w:tc>
          <w:tcPr>
            <w:tcW w:w="3448" w:type="dxa"/>
            <w:tcBorders>
              <w:top w:val="single" w:sz="4" w:space="0" w:color="auto"/>
              <w:bottom w:val="single" w:sz="4" w:space="0" w:color="auto"/>
              <w:right w:val="single" w:sz="4" w:space="0" w:color="auto"/>
            </w:tcBorders>
            <w:shd w:val="clear" w:color="auto" w:fill="auto"/>
          </w:tcPr>
          <w:p w:rsidR="006631FB" w:rsidRPr="00B97C30" w:rsidRDefault="006631FB" w:rsidP="006631FB">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631FB" w:rsidRPr="00B97C30" w:rsidRDefault="006631FB" w:rsidP="006631FB">
            <w:pPr>
              <w:autoSpaceDE w:val="0"/>
              <w:autoSpaceDN w:val="0"/>
              <w:adjustRightInd w:val="0"/>
              <w:jc w:val="center"/>
              <w:rPr>
                <w:rFonts w:cs="Arial"/>
                <w:color w:val="FF0000"/>
                <w:sz w:val="16"/>
                <w:szCs w:val="16"/>
              </w:rPr>
            </w:pPr>
          </w:p>
          <w:p w:rsidR="006631FB" w:rsidRPr="00B97C30" w:rsidRDefault="006631FB" w:rsidP="006631FB">
            <w:pPr>
              <w:autoSpaceDE w:val="0"/>
              <w:autoSpaceDN w:val="0"/>
              <w:adjustRightInd w:val="0"/>
              <w:jc w:val="center"/>
              <w:rPr>
                <w:rFonts w:cs="Arial"/>
                <w:sz w:val="16"/>
                <w:szCs w:val="16"/>
              </w:rPr>
            </w:pPr>
            <w:r w:rsidRPr="00B97C30">
              <w:rPr>
                <w:rFonts w:cs="Arial"/>
                <w:sz w:val="16"/>
                <w:szCs w:val="16"/>
              </w:rPr>
              <w:t>I–V 2018</w:t>
            </w:r>
          </w:p>
          <w:p w:rsidR="006631FB" w:rsidRPr="00B97C30" w:rsidRDefault="006631FB" w:rsidP="006631FB">
            <w:pPr>
              <w:autoSpaceDE w:val="0"/>
              <w:autoSpaceDN w:val="0"/>
              <w:adjustRightInd w:val="0"/>
              <w:jc w:val="center"/>
              <w:rPr>
                <w:rFonts w:cs="Arial"/>
                <w:sz w:val="16"/>
                <w:szCs w:val="16"/>
              </w:rPr>
            </w:pPr>
            <w:r w:rsidRPr="00B97C30">
              <w:rPr>
                <w:noProof/>
                <w:lang w:val="en-US"/>
              </w:rPr>
              <mc:AlternateContent>
                <mc:Choice Requires="wps">
                  <w:drawing>
                    <wp:anchor distT="0" distB="0" distL="114300" distR="114300" simplePos="0" relativeHeight="251675648" behindDoc="0" locked="0" layoutInCell="1" allowOverlap="1" wp14:anchorId="14798CC4" wp14:editId="161A00E4">
                      <wp:simplePos x="0" y="0"/>
                      <wp:positionH relativeFrom="character">
                        <wp:posOffset>-256540</wp:posOffset>
                      </wp:positionH>
                      <wp:positionV relativeFrom="line">
                        <wp:posOffset>43815</wp:posOffset>
                      </wp:positionV>
                      <wp:extent cx="481965" cy="0"/>
                      <wp:effectExtent l="10160" t="5715" r="12700" b="1333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D3C0" id="Line 13" o:spid="_x0000_s1026" style="position:absolute;z-index:25167564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Is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AXARIs&#10;EQIAACkEAAAOAAAAAAAAAAAAAAAAAC4CAABkcnMvZTJvRG9jLnhtbFBLAQItABQABgAIAAAAIQCx&#10;lI0T3QAAAAYBAAAPAAAAAAAAAAAAAAAAAGsEAABkcnMvZG93bnJldi54bWxQSwUGAAAAAAQABADz&#10;AAAAdQUAAAAA&#10;" strokeweight=".25pt">
                      <w10:wrap anchory="line"/>
                    </v:line>
                  </w:pict>
                </mc:Fallback>
              </mc:AlternateContent>
            </w:r>
          </w:p>
          <w:p w:rsidR="006631FB" w:rsidRPr="00B97C30" w:rsidRDefault="006631FB" w:rsidP="006631FB">
            <w:pPr>
              <w:autoSpaceDE w:val="0"/>
              <w:autoSpaceDN w:val="0"/>
              <w:adjustRightInd w:val="0"/>
              <w:jc w:val="center"/>
              <w:rPr>
                <w:rFonts w:cs="Arial"/>
                <w:color w:val="FF0000"/>
                <w:sz w:val="16"/>
                <w:szCs w:val="16"/>
              </w:rPr>
            </w:pPr>
            <w:r w:rsidRPr="00B97C30">
              <w:rPr>
                <w:rFonts w:cs="Arial"/>
                <w:sz w:val="16"/>
                <w:szCs w:val="16"/>
              </w:rPr>
              <w:t>I–V 2017</w:t>
            </w: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631FB" w:rsidRPr="00B97C30" w:rsidRDefault="006631FB" w:rsidP="006631FB">
            <w:pPr>
              <w:autoSpaceDE w:val="0"/>
              <w:autoSpaceDN w:val="0"/>
              <w:adjustRightInd w:val="0"/>
              <w:jc w:val="center"/>
              <w:rPr>
                <w:rFonts w:cs="Arial"/>
                <w:color w:val="FF0000"/>
                <w:sz w:val="16"/>
                <w:szCs w:val="16"/>
              </w:rPr>
            </w:pPr>
          </w:p>
          <w:p w:rsidR="006631FB" w:rsidRPr="00B97C30" w:rsidRDefault="006631FB" w:rsidP="006631FB">
            <w:pPr>
              <w:autoSpaceDE w:val="0"/>
              <w:autoSpaceDN w:val="0"/>
              <w:adjustRightInd w:val="0"/>
              <w:jc w:val="center"/>
              <w:rPr>
                <w:rFonts w:cs="Arial"/>
                <w:sz w:val="16"/>
                <w:szCs w:val="16"/>
              </w:rPr>
            </w:pPr>
            <w:r w:rsidRPr="00B97C30">
              <w:rPr>
                <w:rFonts w:cs="Arial"/>
                <w:sz w:val="16"/>
                <w:szCs w:val="16"/>
              </w:rPr>
              <w:t>V 2018</w:t>
            </w:r>
          </w:p>
          <w:p w:rsidR="006631FB" w:rsidRPr="00B97C30" w:rsidRDefault="006631FB" w:rsidP="006631FB">
            <w:pPr>
              <w:autoSpaceDE w:val="0"/>
              <w:autoSpaceDN w:val="0"/>
              <w:adjustRightInd w:val="0"/>
              <w:jc w:val="center"/>
              <w:rPr>
                <w:rFonts w:cs="Arial"/>
                <w:sz w:val="16"/>
                <w:szCs w:val="16"/>
              </w:rPr>
            </w:pPr>
            <w:r w:rsidRPr="00B97C30">
              <w:rPr>
                <w:rFonts w:cs="Arial"/>
                <w:noProof/>
                <w:sz w:val="16"/>
                <w:szCs w:val="16"/>
                <w:lang w:val="en-US"/>
              </w:rPr>
              <mc:AlternateContent>
                <mc:Choice Requires="wps">
                  <w:drawing>
                    <wp:anchor distT="0" distB="0" distL="114300" distR="114300" simplePos="0" relativeHeight="251672576" behindDoc="0" locked="0" layoutInCell="1" allowOverlap="1" wp14:anchorId="7EA0DB74" wp14:editId="7C0FECEB">
                      <wp:simplePos x="0" y="0"/>
                      <wp:positionH relativeFrom="character">
                        <wp:posOffset>-256540</wp:posOffset>
                      </wp:positionH>
                      <wp:positionV relativeFrom="line">
                        <wp:posOffset>43815</wp:posOffset>
                      </wp:positionV>
                      <wp:extent cx="481965" cy="0"/>
                      <wp:effectExtent l="10160" t="5715" r="12700"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0AC750" id="Line 8" o:spid="_x0000_s1026" style="position:absolute;z-index:2516725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t5hw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" strokeweight=".25pt">
                      <w10:wrap anchory="line"/>
                    </v:line>
                  </w:pict>
                </mc:Fallback>
              </mc:AlternateContent>
            </w:r>
          </w:p>
          <w:p w:rsidR="006631FB" w:rsidRPr="00B97C30" w:rsidRDefault="006631FB" w:rsidP="006631FB">
            <w:pPr>
              <w:autoSpaceDE w:val="0"/>
              <w:autoSpaceDN w:val="0"/>
              <w:adjustRightInd w:val="0"/>
              <w:jc w:val="center"/>
              <w:rPr>
                <w:rFonts w:cs="Arial"/>
                <w:color w:val="FF0000"/>
                <w:sz w:val="16"/>
                <w:szCs w:val="16"/>
              </w:rPr>
            </w:pPr>
            <w:r w:rsidRPr="00B97C30">
              <w:rPr>
                <w:rFonts w:cs="Arial"/>
                <w:sz w:val="16"/>
                <w:szCs w:val="16"/>
              </w:rPr>
              <w:t>IV 2018</w:t>
            </w: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631FB" w:rsidRPr="00B97C30" w:rsidRDefault="006631FB" w:rsidP="006631FB">
            <w:pPr>
              <w:autoSpaceDE w:val="0"/>
              <w:autoSpaceDN w:val="0"/>
              <w:adjustRightInd w:val="0"/>
              <w:jc w:val="center"/>
              <w:rPr>
                <w:rFonts w:cs="Arial"/>
                <w:color w:val="FF0000"/>
                <w:sz w:val="16"/>
                <w:szCs w:val="16"/>
              </w:rPr>
            </w:pPr>
          </w:p>
          <w:p w:rsidR="006631FB" w:rsidRPr="00B97C30" w:rsidRDefault="006631FB" w:rsidP="006631FB">
            <w:pPr>
              <w:autoSpaceDE w:val="0"/>
              <w:autoSpaceDN w:val="0"/>
              <w:adjustRightInd w:val="0"/>
              <w:jc w:val="center"/>
              <w:rPr>
                <w:rFonts w:cs="Arial"/>
                <w:sz w:val="16"/>
                <w:szCs w:val="16"/>
              </w:rPr>
            </w:pPr>
            <w:r w:rsidRPr="00B97C30">
              <w:rPr>
                <w:rFonts w:cs="Arial"/>
                <w:sz w:val="16"/>
                <w:szCs w:val="16"/>
              </w:rPr>
              <w:t>V 2018</w:t>
            </w:r>
          </w:p>
          <w:p w:rsidR="006631FB" w:rsidRPr="00B97C30" w:rsidRDefault="006631FB" w:rsidP="006631FB">
            <w:pPr>
              <w:autoSpaceDE w:val="0"/>
              <w:autoSpaceDN w:val="0"/>
              <w:adjustRightInd w:val="0"/>
              <w:jc w:val="center"/>
              <w:rPr>
                <w:rFonts w:cs="Arial"/>
                <w:sz w:val="16"/>
                <w:szCs w:val="16"/>
              </w:rPr>
            </w:pPr>
            <w:r w:rsidRPr="00B97C30">
              <w:rPr>
                <w:rFonts w:cs="Arial"/>
                <w:noProof/>
                <w:sz w:val="16"/>
                <w:szCs w:val="16"/>
                <w:lang w:val="en-US"/>
              </w:rPr>
              <mc:AlternateContent>
                <mc:Choice Requires="wps">
                  <w:drawing>
                    <wp:anchor distT="0" distB="0" distL="114300" distR="114300" simplePos="0" relativeHeight="251673600" behindDoc="0" locked="0" layoutInCell="1" allowOverlap="1" wp14:anchorId="0A00F646" wp14:editId="61F49B7E">
                      <wp:simplePos x="0" y="0"/>
                      <wp:positionH relativeFrom="character">
                        <wp:posOffset>-256540</wp:posOffset>
                      </wp:positionH>
                      <wp:positionV relativeFrom="line">
                        <wp:posOffset>43815</wp:posOffset>
                      </wp:positionV>
                      <wp:extent cx="481965" cy="0"/>
                      <wp:effectExtent l="10160" t="5715" r="12700" b="133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1A80C6" id="Line 9" o:spid="_x0000_s1026" style="position:absolute;z-index:2516736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Vq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Ltu9WqIAgAAYAUAAA4AAAAAAAAAAAAAAAAALgIAAGRycy9lMm9Eb2MueG1sUEsBAi0AFAAGAAgA&#10;AAAhALGUjRPdAAAABgEAAA8AAAAAAAAAAAAAAAAA4gQAAGRycy9kb3ducmV2LnhtbFBLBQYAAAAA&#10;BAAEAPMAAADsBQAAAAA=&#10;" strokeweight=".25pt">
                      <w10:wrap anchory="line"/>
                    </v:line>
                  </w:pict>
                </mc:Fallback>
              </mc:AlternateContent>
            </w:r>
          </w:p>
          <w:p w:rsidR="006631FB" w:rsidRPr="00B97C30" w:rsidRDefault="006631FB" w:rsidP="006631FB">
            <w:pPr>
              <w:autoSpaceDE w:val="0"/>
              <w:autoSpaceDN w:val="0"/>
              <w:adjustRightInd w:val="0"/>
              <w:jc w:val="center"/>
              <w:rPr>
                <w:rFonts w:cs="Arial"/>
                <w:color w:val="FF0000"/>
                <w:sz w:val="16"/>
                <w:szCs w:val="16"/>
              </w:rPr>
            </w:pPr>
            <w:r w:rsidRPr="00B97C30">
              <w:rPr>
                <w:rFonts w:cs="Arial"/>
                <w:sz w:val="16"/>
                <w:szCs w:val="16"/>
              </w:rPr>
              <w:t>V 2017</w:t>
            </w:r>
          </w:p>
        </w:tc>
        <w:tc>
          <w:tcPr>
            <w:tcW w:w="1407" w:type="dxa"/>
            <w:tcBorders>
              <w:top w:val="single" w:sz="4" w:space="0" w:color="auto"/>
              <w:left w:val="single" w:sz="4" w:space="0" w:color="auto"/>
              <w:bottom w:val="single" w:sz="4" w:space="0" w:color="auto"/>
            </w:tcBorders>
            <w:shd w:val="clear" w:color="auto" w:fill="auto"/>
            <w:tcMar>
              <w:right w:w="28" w:type="dxa"/>
            </w:tcMar>
            <w:vAlign w:val="center"/>
          </w:tcPr>
          <w:p w:rsidR="006631FB" w:rsidRPr="00B97C30" w:rsidRDefault="006631FB" w:rsidP="006631FB">
            <w:pPr>
              <w:autoSpaceDE w:val="0"/>
              <w:autoSpaceDN w:val="0"/>
              <w:adjustRightInd w:val="0"/>
              <w:jc w:val="center"/>
              <w:rPr>
                <w:rFonts w:cs="Arial"/>
                <w:color w:val="FF0000"/>
                <w:sz w:val="16"/>
                <w:szCs w:val="16"/>
              </w:rPr>
            </w:pPr>
          </w:p>
          <w:p w:rsidR="006631FB" w:rsidRPr="00B97C30" w:rsidRDefault="006631FB" w:rsidP="006631FB">
            <w:pPr>
              <w:autoSpaceDE w:val="0"/>
              <w:autoSpaceDN w:val="0"/>
              <w:adjustRightInd w:val="0"/>
              <w:jc w:val="center"/>
              <w:rPr>
                <w:rFonts w:cs="Arial"/>
                <w:sz w:val="16"/>
                <w:szCs w:val="16"/>
              </w:rPr>
            </w:pPr>
            <w:r w:rsidRPr="00B97C30">
              <w:rPr>
                <w:rFonts w:cs="Arial"/>
                <w:sz w:val="16"/>
                <w:szCs w:val="16"/>
              </w:rPr>
              <w:t>V 2018</w:t>
            </w:r>
          </w:p>
          <w:p w:rsidR="006631FB" w:rsidRPr="00B97C30" w:rsidRDefault="006631FB" w:rsidP="006631FB">
            <w:pPr>
              <w:autoSpaceDE w:val="0"/>
              <w:autoSpaceDN w:val="0"/>
              <w:adjustRightInd w:val="0"/>
              <w:jc w:val="center"/>
              <w:rPr>
                <w:rFonts w:cs="Arial"/>
                <w:sz w:val="16"/>
                <w:szCs w:val="16"/>
              </w:rPr>
            </w:pPr>
            <w:r w:rsidRPr="00B97C30">
              <w:rPr>
                <w:rFonts w:cs="Arial"/>
                <w:noProof/>
                <w:sz w:val="16"/>
                <w:szCs w:val="16"/>
                <w:lang w:val="en-US"/>
              </w:rPr>
              <mc:AlternateContent>
                <mc:Choice Requires="wps">
                  <w:drawing>
                    <wp:anchor distT="0" distB="0" distL="114300" distR="114300" simplePos="0" relativeHeight="251674624" behindDoc="0" locked="0" layoutInCell="1" allowOverlap="1" wp14:anchorId="7FFE1639" wp14:editId="51A786A9">
                      <wp:simplePos x="0" y="0"/>
                      <wp:positionH relativeFrom="character">
                        <wp:posOffset>-256540</wp:posOffset>
                      </wp:positionH>
                      <wp:positionV relativeFrom="line">
                        <wp:posOffset>43815</wp:posOffset>
                      </wp:positionV>
                      <wp:extent cx="481965" cy="0"/>
                      <wp:effectExtent l="10160" t="5715" r="12700"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7D64B8" id="Line 10" o:spid="_x0000_s1026" style="position:absolute;z-index:2516746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AbAZvooCAABhBQAADgAAAAAAAAAAAAAAAAAuAgAAZHJzL2Uyb0RvYy54bWxQSwECLQAUAAYA&#10;CAAAACEAsZSNE90AAAAGAQAADwAAAAAAAAAAAAAAAADkBAAAZHJzL2Rvd25yZXYueG1sUEsFBgAA&#10;AAAEAAQA8wAAAO4FAAAAAA==&#10;" strokeweight=".25pt">
                      <w10:wrap anchory="line"/>
                    </v:line>
                  </w:pict>
                </mc:Fallback>
              </mc:AlternateContent>
            </w:r>
          </w:p>
          <w:p w:rsidR="006631FB" w:rsidRPr="00B97C30" w:rsidRDefault="006631FB" w:rsidP="006631FB">
            <w:pPr>
              <w:autoSpaceDE w:val="0"/>
              <w:autoSpaceDN w:val="0"/>
              <w:adjustRightInd w:val="0"/>
              <w:jc w:val="center"/>
              <w:rPr>
                <w:rFonts w:cs="Arial"/>
                <w:color w:val="FF0000"/>
                <w:sz w:val="16"/>
                <w:szCs w:val="16"/>
              </w:rPr>
            </w:pPr>
            <w:r w:rsidRPr="00B97C30">
              <w:rPr>
                <w:rFonts w:cs="Arial"/>
                <w:sz w:val="16"/>
                <w:szCs w:val="16"/>
              </w:rPr>
              <w:sym w:font="Symbol" w:char="F0C6"/>
            </w:r>
            <w:r w:rsidRPr="00B97C30">
              <w:rPr>
                <w:rFonts w:cs="Arial"/>
                <w:sz w:val="16"/>
                <w:szCs w:val="16"/>
              </w:rPr>
              <w:t xml:space="preserve"> 2017</w:t>
            </w:r>
          </w:p>
        </w:tc>
      </w:tr>
      <w:tr w:rsidR="006631FB" w:rsidRPr="00B97C30" w:rsidTr="00F248C9">
        <w:trPr>
          <w:trHeight w:val="297"/>
          <w:jc w:val="center"/>
        </w:trPr>
        <w:tc>
          <w:tcPr>
            <w:tcW w:w="3448" w:type="dxa"/>
            <w:tcBorders>
              <w:top w:val="single" w:sz="4" w:space="0" w:color="auto"/>
              <w:right w:val="single" w:sz="4" w:space="0" w:color="auto"/>
            </w:tcBorders>
            <w:shd w:val="clear" w:color="auto" w:fill="auto"/>
          </w:tcPr>
          <w:p w:rsidR="006631FB" w:rsidRPr="00B97C30" w:rsidRDefault="006631FB" w:rsidP="006631FB">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tcBorders>
            <w:shd w:val="clear" w:color="auto" w:fill="auto"/>
            <w:tcMar>
              <w:right w:w="28" w:type="dxa"/>
            </w:tcMar>
          </w:tcPr>
          <w:p w:rsidR="006631FB" w:rsidRPr="00B97C30" w:rsidRDefault="006631FB" w:rsidP="006631FB">
            <w:pPr>
              <w:pStyle w:val="Naslovtabela"/>
              <w:spacing w:before="0" w:after="0" w:line="312" w:lineRule="auto"/>
              <w:ind w:left="0" w:firstLine="0"/>
              <w:jc w:val="left"/>
              <w:rPr>
                <w:rFonts w:cs="Arial"/>
                <w:b w:val="0"/>
                <w:sz w:val="16"/>
                <w:szCs w:val="16"/>
              </w:rPr>
            </w:pPr>
          </w:p>
        </w:tc>
        <w:tc>
          <w:tcPr>
            <w:tcW w:w="1483" w:type="dxa"/>
            <w:tcBorders>
              <w:top w:val="single" w:sz="4" w:space="0" w:color="auto"/>
            </w:tcBorders>
            <w:shd w:val="clear" w:color="auto" w:fill="auto"/>
            <w:tcMar>
              <w:right w:w="28" w:type="dxa"/>
            </w:tcMar>
          </w:tcPr>
          <w:p w:rsidR="006631FB" w:rsidRPr="00B97C30" w:rsidRDefault="006631FB" w:rsidP="006631FB">
            <w:pPr>
              <w:pStyle w:val="Naslovtabela"/>
              <w:spacing w:before="0" w:after="0" w:line="312" w:lineRule="auto"/>
              <w:ind w:left="0" w:firstLine="0"/>
              <w:rPr>
                <w:rFonts w:cs="Arial"/>
                <w:b w:val="0"/>
                <w:sz w:val="16"/>
                <w:szCs w:val="16"/>
              </w:rPr>
            </w:pPr>
          </w:p>
        </w:tc>
        <w:tc>
          <w:tcPr>
            <w:tcW w:w="1483" w:type="dxa"/>
            <w:tcBorders>
              <w:top w:val="single" w:sz="4" w:space="0" w:color="auto"/>
            </w:tcBorders>
            <w:shd w:val="clear" w:color="auto" w:fill="auto"/>
            <w:tcMar>
              <w:right w:w="28" w:type="dxa"/>
            </w:tcMar>
          </w:tcPr>
          <w:p w:rsidR="006631FB" w:rsidRPr="00B97C30" w:rsidRDefault="006631FB" w:rsidP="006631FB">
            <w:pPr>
              <w:pStyle w:val="Naslovtabela"/>
              <w:spacing w:before="0" w:after="0" w:line="312" w:lineRule="auto"/>
              <w:ind w:left="0" w:firstLine="0"/>
              <w:rPr>
                <w:rFonts w:cs="Arial"/>
                <w:b w:val="0"/>
                <w:sz w:val="16"/>
                <w:szCs w:val="16"/>
              </w:rPr>
            </w:pPr>
          </w:p>
        </w:tc>
        <w:tc>
          <w:tcPr>
            <w:tcW w:w="1407" w:type="dxa"/>
            <w:tcBorders>
              <w:top w:val="single" w:sz="4" w:space="0" w:color="auto"/>
            </w:tcBorders>
            <w:shd w:val="clear" w:color="auto" w:fill="auto"/>
            <w:tcMar>
              <w:right w:w="28" w:type="dxa"/>
            </w:tcMar>
          </w:tcPr>
          <w:p w:rsidR="006631FB" w:rsidRPr="00B97C30" w:rsidRDefault="006631FB" w:rsidP="006631FB">
            <w:pPr>
              <w:pStyle w:val="Naslovtabela"/>
              <w:spacing w:before="0" w:after="0" w:line="312" w:lineRule="auto"/>
              <w:ind w:left="0" w:firstLine="0"/>
              <w:rPr>
                <w:rFonts w:cs="Arial"/>
                <w:b w:val="0"/>
                <w:sz w:val="16"/>
                <w:szCs w:val="16"/>
              </w:rPr>
            </w:pPr>
          </w:p>
        </w:tc>
      </w:tr>
      <w:tr w:rsidR="006631FB" w:rsidRPr="00B97C30" w:rsidTr="00F248C9">
        <w:trPr>
          <w:trHeight w:val="284"/>
          <w:jc w:val="center"/>
        </w:trPr>
        <w:tc>
          <w:tcPr>
            <w:tcW w:w="3448" w:type="dxa"/>
            <w:tcBorders>
              <w:right w:val="single" w:sz="4" w:space="0" w:color="auto"/>
            </w:tcBorders>
            <w:shd w:val="clear" w:color="auto" w:fill="auto"/>
            <w:vAlign w:val="bottom"/>
          </w:tcPr>
          <w:p w:rsidR="006631FB" w:rsidRPr="00B97C30" w:rsidRDefault="006631FB" w:rsidP="006631FB">
            <w:pPr>
              <w:spacing w:before="20" w:after="20" w:line="312" w:lineRule="auto"/>
              <w:rPr>
                <w:rFonts w:cs="Arial"/>
                <w:bCs/>
                <w:sz w:val="16"/>
                <w:szCs w:val="16"/>
              </w:rPr>
            </w:pPr>
            <w:r w:rsidRPr="00B97C30">
              <w:rPr>
                <w:rFonts w:cs="Arial"/>
                <w:sz w:val="16"/>
                <w:szCs w:val="16"/>
              </w:rPr>
              <w:t>Total</w:t>
            </w:r>
          </w:p>
        </w:tc>
        <w:tc>
          <w:tcPr>
            <w:tcW w:w="1483" w:type="dxa"/>
            <w:tcBorders>
              <w:left w:val="single" w:sz="4" w:space="0" w:color="auto"/>
            </w:tcBorders>
            <w:shd w:val="clear" w:color="auto" w:fill="auto"/>
            <w:tcMar>
              <w:right w:w="28" w:type="dxa"/>
            </w:tcMar>
          </w:tcPr>
          <w:p w:rsidR="006631FB" w:rsidRPr="00D77C79" w:rsidRDefault="006631FB" w:rsidP="006631FB">
            <w:pPr>
              <w:pStyle w:val="Naslovtabela"/>
              <w:spacing w:before="0" w:after="0" w:line="360" w:lineRule="auto"/>
              <w:ind w:left="0" w:firstLine="0"/>
              <w:jc w:val="left"/>
              <w:rPr>
                <w:rFonts w:cs="Arial"/>
                <w:b w:val="0"/>
                <w:sz w:val="16"/>
                <w:szCs w:val="16"/>
              </w:rPr>
            </w:pPr>
          </w:p>
        </w:tc>
        <w:tc>
          <w:tcPr>
            <w:tcW w:w="1483" w:type="dxa"/>
            <w:shd w:val="clear" w:color="auto" w:fill="auto"/>
            <w:tcMar>
              <w:right w:w="28" w:type="dxa"/>
            </w:tcMar>
          </w:tcPr>
          <w:p w:rsidR="006631FB" w:rsidRPr="00D77C79" w:rsidRDefault="006631FB" w:rsidP="006631FB">
            <w:pPr>
              <w:pStyle w:val="Naslovtabela"/>
              <w:spacing w:before="0" w:after="0" w:line="360" w:lineRule="auto"/>
              <w:ind w:left="0" w:firstLine="0"/>
              <w:jc w:val="right"/>
              <w:rPr>
                <w:rFonts w:cs="Arial"/>
                <w:b w:val="0"/>
                <w:sz w:val="16"/>
                <w:szCs w:val="16"/>
              </w:rPr>
            </w:pPr>
          </w:p>
        </w:tc>
        <w:tc>
          <w:tcPr>
            <w:tcW w:w="1483" w:type="dxa"/>
            <w:shd w:val="clear" w:color="auto" w:fill="auto"/>
            <w:tcMar>
              <w:right w:w="28" w:type="dxa"/>
            </w:tcMar>
          </w:tcPr>
          <w:p w:rsidR="006631FB" w:rsidRPr="00D77C79" w:rsidRDefault="006631FB" w:rsidP="006631FB">
            <w:pPr>
              <w:pStyle w:val="Naslovtabela"/>
              <w:spacing w:before="0" w:after="0" w:line="360" w:lineRule="auto"/>
              <w:ind w:left="0" w:firstLine="0"/>
              <w:jc w:val="right"/>
              <w:rPr>
                <w:rFonts w:cs="Arial"/>
                <w:b w:val="0"/>
                <w:sz w:val="16"/>
                <w:szCs w:val="16"/>
              </w:rPr>
            </w:pPr>
          </w:p>
        </w:tc>
        <w:tc>
          <w:tcPr>
            <w:tcW w:w="1407" w:type="dxa"/>
            <w:shd w:val="clear" w:color="auto" w:fill="auto"/>
            <w:tcMar>
              <w:right w:w="28" w:type="dxa"/>
            </w:tcMar>
          </w:tcPr>
          <w:p w:rsidR="006631FB" w:rsidRPr="00D77C79" w:rsidRDefault="006631FB" w:rsidP="006631FB">
            <w:pPr>
              <w:pStyle w:val="Naslovtabela"/>
              <w:spacing w:before="0" w:after="0" w:line="360" w:lineRule="auto"/>
              <w:ind w:left="0" w:firstLine="0"/>
              <w:jc w:val="left"/>
              <w:rPr>
                <w:rFonts w:cs="Arial"/>
                <w:b w:val="0"/>
                <w:sz w:val="16"/>
                <w:szCs w:val="16"/>
              </w:rPr>
            </w:pPr>
          </w:p>
        </w:tc>
      </w:tr>
      <w:tr w:rsidR="006631FB" w:rsidRPr="00B97C30" w:rsidTr="006631FB">
        <w:trPr>
          <w:trHeight w:val="284"/>
          <w:jc w:val="center"/>
        </w:trPr>
        <w:tc>
          <w:tcPr>
            <w:tcW w:w="3448" w:type="dxa"/>
            <w:tcBorders>
              <w:right w:val="single" w:sz="4" w:space="0" w:color="auto"/>
            </w:tcBorders>
            <w:shd w:val="clear" w:color="auto" w:fill="auto"/>
            <w:vAlign w:val="bottom"/>
          </w:tcPr>
          <w:p w:rsidR="006631FB" w:rsidRPr="00B97C30" w:rsidRDefault="006631FB" w:rsidP="006631FB">
            <w:pPr>
              <w:spacing w:before="20" w:after="20" w:line="312" w:lineRule="auto"/>
              <w:ind w:left="227"/>
              <w:rPr>
                <w:rFonts w:cs="Arial"/>
                <w:sz w:val="16"/>
                <w:szCs w:val="16"/>
              </w:rPr>
            </w:pPr>
            <w:r w:rsidRPr="00B97C30">
              <w:rPr>
                <w:rFonts w:cs="Arial"/>
                <w:sz w:val="16"/>
                <w:szCs w:val="16"/>
              </w:rPr>
              <w:t>Number</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109.9</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126.3</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106.6</w:t>
            </w:r>
          </w:p>
        </w:tc>
        <w:tc>
          <w:tcPr>
            <w:tcW w:w="1407"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111.8</w:t>
            </w:r>
          </w:p>
        </w:tc>
      </w:tr>
      <w:tr w:rsidR="006631FB" w:rsidRPr="00B97C30" w:rsidTr="006631FB">
        <w:trPr>
          <w:trHeight w:val="284"/>
          <w:jc w:val="center"/>
        </w:trPr>
        <w:tc>
          <w:tcPr>
            <w:tcW w:w="3448" w:type="dxa"/>
            <w:tcBorders>
              <w:right w:val="single" w:sz="4" w:space="0" w:color="auto"/>
            </w:tcBorders>
            <w:shd w:val="clear" w:color="auto" w:fill="auto"/>
            <w:vAlign w:val="bottom"/>
          </w:tcPr>
          <w:p w:rsidR="006631FB" w:rsidRPr="00B97C30" w:rsidRDefault="006631FB" w:rsidP="006631FB">
            <w:pPr>
              <w:spacing w:before="20" w:after="20" w:line="312" w:lineRule="auto"/>
              <w:ind w:left="227"/>
              <w:rPr>
                <w:rFonts w:cs="Arial"/>
                <w:sz w:val="16"/>
                <w:szCs w:val="16"/>
              </w:rPr>
            </w:pPr>
            <w:r w:rsidRPr="00B97C30">
              <w:rPr>
                <w:rFonts w:cs="Arial"/>
                <w:sz w:val="16"/>
                <w:szCs w:val="16"/>
              </w:rPr>
              <w:t>Anticipated value of works</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144.2</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80.1</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144.5</w:t>
            </w:r>
          </w:p>
        </w:tc>
        <w:tc>
          <w:tcPr>
            <w:tcW w:w="1407"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97.7</w:t>
            </w:r>
          </w:p>
        </w:tc>
      </w:tr>
      <w:tr w:rsidR="006631FB" w:rsidRPr="00B97C30" w:rsidTr="006631FB">
        <w:trPr>
          <w:trHeight w:val="284"/>
          <w:jc w:val="center"/>
        </w:trPr>
        <w:tc>
          <w:tcPr>
            <w:tcW w:w="3448" w:type="dxa"/>
            <w:tcBorders>
              <w:right w:val="single" w:sz="4" w:space="0" w:color="auto"/>
            </w:tcBorders>
            <w:shd w:val="clear" w:color="auto" w:fill="auto"/>
            <w:vAlign w:val="bottom"/>
          </w:tcPr>
          <w:p w:rsidR="006631FB" w:rsidRPr="00B97C30" w:rsidRDefault="006631FB" w:rsidP="006631FB">
            <w:pPr>
              <w:spacing w:before="20" w:after="20" w:line="312" w:lineRule="auto"/>
              <w:rPr>
                <w:rFonts w:cs="Arial"/>
                <w:bCs/>
                <w:sz w:val="16"/>
                <w:szCs w:val="16"/>
              </w:rPr>
            </w:pPr>
            <w:r w:rsidRPr="00B97C30">
              <w:rPr>
                <w:rFonts w:cs="Arial"/>
                <w:sz w:val="16"/>
                <w:szCs w:val="16"/>
              </w:rPr>
              <w:t>Buildings</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szCs w:val="20"/>
              </w:rPr>
            </w:pP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szCs w:val="20"/>
              </w:rPr>
            </w:pPr>
          </w:p>
        </w:tc>
        <w:tc>
          <w:tcPr>
            <w:tcW w:w="1407"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szCs w:val="20"/>
              </w:rPr>
            </w:pPr>
          </w:p>
        </w:tc>
      </w:tr>
      <w:tr w:rsidR="006631FB" w:rsidRPr="00B97C30" w:rsidTr="006631FB">
        <w:trPr>
          <w:trHeight w:val="284"/>
          <w:jc w:val="center"/>
        </w:trPr>
        <w:tc>
          <w:tcPr>
            <w:tcW w:w="3448" w:type="dxa"/>
            <w:tcBorders>
              <w:right w:val="single" w:sz="4" w:space="0" w:color="auto"/>
            </w:tcBorders>
            <w:shd w:val="clear" w:color="auto" w:fill="auto"/>
            <w:vAlign w:val="bottom"/>
          </w:tcPr>
          <w:p w:rsidR="006631FB" w:rsidRPr="00B97C30" w:rsidRDefault="006631FB" w:rsidP="006631FB">
            <w:pPr>
              <w:spacing w:before="20" w:after="20" w:line="312" w:lineRule="auto"/>
              <w:ind w:left="227"/>
              <w:rPr>
                <w:rFonts w:cs="Arial"/>
                <w:sz w:val="16"/>
                <w:szCs w:val="16"/>
              </w:rPr>
            </w:pPr>
            <w:r w:rsidRPr="00B97C30">
              <w:rPr>
                <w:rFonts w:cs="Arial"/>
                <w:sz w:val="16"/>
                <w:szCs w:val="16"/>
              </w:rPr>
              <w:t>Number</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111.2</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131.0</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101.9</w:t>
            </w:r>
          </w:p>
        </w:tc>
        <w:tc>
          <w:tcPr>
            <w:tcW w:w="1407"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112.5</w:t>
            </w:r>
          </w:p>
        </w:tc>
      </w:tr>
      <w:tr w:rsidR="006631FB" w:rsidRPr="00B97C30" w:rsidTr="006631FB">
        <w:trPr>
          <w:trHeight w:val="284"/>
          <w:jc w:val="center"/>
        </w:trPr>
        <w:tc>
          <w:tcPr>
            <w:tcW w:w="3448" w:type="dxa"/>
            <w:tcBorders>
              <w:right w:val="single" w:sz="4" w:space="0" w:color="auto"/>
            </w:tcBorders>
            <w:shd w:val="clear" w:color="auto" w:fill="auto"/>
            <w:vAlign w:val="bottom"/>
          </w:tcPr>
          <w:p w:rsidR="006631FB" w:rsidRPr="00B97C30" w:rsidRDefault="006631FB" w:rsidP="006631FB">
            <w:pPr>
              <w:spacing w:before="20" w:after="20" w:line="312" w:lineRule="auto"/>
              <w:ind w:left="227"/>
              <w:rPr>
                <w:rFonts w:cs="Arial"/>
                <w:sz w:val="16"/>
                <w:szCs w:val="16"/>
              </w:rPr>
            </w:pPr>
            <w:r w:rsidRPr="00B97C30">
              <w:rPr>
                <w:rFonts w:cs="Arial"/>
                <w:sz w:val="16"/>
                <w:szCs w:val="16"/>
              </w:rPr>
              <w:t>Anticipated value of works</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132.1</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160.4</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136.9</w:t>
            </w:r>
          </w:p>
        </w:tc>
        <w:tc>
          <w:tcPr>
            <w:tcW w:w="1407"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124.1</w:t>
            </w:r>
          </w:p>
        </w:tc>
      </w:tr>
      <w:tr w:rsidR="006631FB" w:rsidRPr="00B97C30" w:rsidTr="006631FB">
        <w:trPr>
          <w:trHeight w:val="284"/>
          <w:jc w:val="center"/>
        </w:trPr>
        <w:tc>
          <w:tcPr>
            <w:tcW w:w="3448" w:type="dxa"/>
            <w:tcBorders>
              <w:right w:val="single" w:sz="4" w:space="0" w:color="auto"/>
            </w:tcBorders>
            <w:shd w:val="clear" w:color="auto" w:fill="auto"/>
            <w:vAlign w:val="bottom"/>
          </w:tcPr>
          <w:p w:rsidR="006631FB" w:rsidRPr="00B97C30" w:rsidRDefault="006631FB" w:rsidP="006631FB">
            <w:pPr>
              <w:spacing w:before="20" w:after="20" w:line="312" w:lineRule="auto"/>
              <w:ind w:left="227"/>
              <w:rPr>
                <w:rFonts w:cs="Arial"/>
                <w:sz w:val="16"/>
                <w:szCs w:val="16"/>
              </w:rPr>
            </w:pPr>
            <w:r w:rsidRPr="00B97C30">
              <w:rPr>
                <w:rFonts w:cs="Arial"/>
                <w:sz w:val="16"/>
                <w:szCs w:val="16"/>
              </w:rPr>
              <w:t>Area</w:t>
            </w:r>
          </w:p>
        </w:tc>
        <w:tc>
          <w:tcPr>
            <w:tcW w:w="1483" w:type="dxa"/>
            <w:tcBorders>
              <w:top w:val="nil"/>
              <w:left w:val="nil"/>
              <w:bottom w:val="nil"/>
              <w:right w:val="nil"/>
            </w:tcBorders>
            <w:shd w:val="clear" w:color="auto" w:fill="auto"/>
            <w:tcMar>
              <w:right w:w="28" w:type="dxa"/>
            </w:tcMar>
            <w:vAlign w:val="center"/>
          </w:tcPr>
          <w:p w:rsidR="006631FB" w:rsidRPr="00D77C79" w:rsidRDefault="00FB35F4" w:rsidP="006631FB">
            <w:pPr>
              <w:spacing w:line="360" w:lineRule="auto"/>
              <w:ind w:right="284"/>
              <w:jc w:val="right"/>
              <w:rPr>
                <w:rFonts w:cs="Arial"/>
                <w:color w:val="000000"/>
                <w:sz w:val="16"/>
                <w:szCs w:val="16"/>
              </w:rPr>
            </w:pPr>
            <w:r w:rsidRPr="00D77C79">
              <w:rPr>
                <w:rFonts w:cs="Arial"/>
                <w:color w:val="000000"/>
                <w:sz w:val="16"/>
                <w:szCs w:val="16"/>
              </w:rPr>
              <w:t>135.4</w:t>
            </w:r>
          </w:p>
        </w:tc>
        <w:tc>
          <w:tcPr>
            <w:tcW w:w="1483" w:type="dxa"/>
            <w:tcBorders>
              <w:top w:val="nil"/>
              <w:left w:val="nil"/>
              <w:bottom w:val="nil"/>
              <w:right w:val="nil"/>
            </w:tcBorders>
            <w:shd w:val="clear" w:color="auto" w:fill="auto"/>
            <w:tcMar>
              <w:right w:w="28" w:type="dxa"/>
            </w:tcMar>
            <w:vAlign w:val="center"/>
          </w:tcPr>
          <w:p w:rsidR="006631FB" w:rsidRPr="00D77C79" w:rsidRDefault="00FB35F4" w:rsidP="006631FB">
            <w:pPr>
              <w:spacing w:line="360" w:lineRule="auto"/>
              <w:ind w:right="284"/>
              <w:jc w:val="right"/>
              <w:rPr>
                <w:rFonts w:cs="Arial"/>
                <w:color w:val="000000"/>
                <w:sz w:val="16"/>
                <w:szCs w:val="16"/>
              </w:rPr>
            </w:pPr>
            <w:r w:rsidRPr="00D77C79">
              <w:rPr>
                <w:rFonts w:cs="Arial"/>
                <w:color w:val="000000"/>
                <w:sz w:val="16"/>
                <w:szCs w:val="16"/>
              </w:rPr>
              <w:t>133.6</w:t>
            </w:r>
          </w:p>
        </w:tc>
        <w:tc>
          <w:tcPr>
            <w:tcW w:w="1483" w:type="dxa"/>
            <w:tcBorders>
              <w:top w:val="nil"/>
              <w:left w:val="nil"/>
              <w:bottom w:val="nil"/>
              <w:right w:val="nil"/>
            </w:tcBorders>
            <w:shd w:val="clear" w:color="auto" w:fill="auto"/>
            <w:tcMar>
              <w:right w:w="28" w:type="dxa"/>
            </w:tcMar>
            <w:vAlign w:val="center"/>
          </w:tcPr>
          <w:p w:rsidR="006631FB" w:rsidRPr="00D77C79" w:rsidRDefault="00FB35F4" w:rsidP="006631FB">
            <w:pPr>
              <w:spacing w:line="360" w:lineRule="auto"/>
              <w:ind w:right="284"/>
              <w:jc w:val="right"/>
              <w:rPr>
                <w:rFonts w:cs="Arial"/>
                <w:color w:val="000000"/>
                <w:sz w:val="16"/>
                <w:szCs w:val="16"/>
              </w:rPr>
            </w:pPr>
            <w:r w:rsidRPr="00D77C79">
              <w:rPr>
                <w:rFonts w:cs="Arial"/>
                <w:color w:val="000000"/>
                <w:sz w:val="16"/>
                <w:szCs w:val="16"/>
              </w:rPr>
              <w:t>126.0</w:t>
            </w:r>
          </w:p>
        </w:tc>
        <w:tc>
          <w:tcPr>
            <w:tcW w:w="1407" w:type="dxa"/>
            <w:tcBorders>
              <w:top w:val="nil"/>
              <w:left w:val="nil"/>
              <w:bottom w:val="nil"/>
              <w:right w:val="nil"/>
            </w:tcBorders>
            <w:shd w:val="clear" w:color="auto" w:fill="auto"/>
            <w:tcMar>
              <w:right w:w="28" w:type="dxa"/>
            </w:tcMar>
            <w:vAlign w:val="center"/>
          </w:tcPr>
          <w:p w:rsidR="006631FB" w:rsidRPr="00D77C79" w:rsidRDefault="00FB35F4" w:rsidP="006631FB">
            <w:pPr>
              <w:spacing w:line="360" w:lineRule="auto"/>
              <w:ind w:right="284"/>
              <w:jc w:val="right"/>
              <w:rPr>
                <w:rFonts w:cs="Arial"/>
                <w:color w:val="000000"/>
                <w:sz w:val="16"/>
                <w:szCs w:val="16"/>
              </w:rPr>
            </w:pPr>
            <w:r w:rsidRPr="00D77C79">
              <w:rPr>
                <w:rFonts w:cs="Arial"/>
                <w:color w:val="000000"/>
                <w:sz w:val="16"/>
                <w:szCs w:val="16"/>
              </w:rPr>
              <w:t>118.2</w:t>
            </w:r>
          </w:p>
        </w:tc>
      </w:tr>
      <w:tr w:rsidR="006631FB" w:rsidRPr="00B97C30" w:rsidTr="006631FB">
        <w:trPr>
          <w:trHeight w:val="284"/>
          <w:jc w:val="center"/>
        </w:trPr>
        <w:tc>
          <w:tcPr>
            <w:tcW w:w="3448" w:type="dxa"/>
            <w:tcBorders>
              <w:right w:val="single" w:sz="4" w:space="0" w:color="auto"/>
            </w:tcBorders>
            <w:shd w:val="clear" w:color="auto" w:fill="auto"/>
            <w:vAlign w:val="bottom"/>
          </w:tcPr>
          <w:p w:rsidR="006631FB" w:rsidRPr="00B97C30" w:rsidRDefault="006631FB" w:rsidP="006631FB">
            <w:pPr>
              <w:spacing w:before="20" w:after="20" w:line="312" w:lineRule="auto"/>
              <w:rPr>
                <w:rFonts w:cs="Arial"/>
                <w:sz w:val="16"/>
                <w:szCs w:val="16"/>
              </w:rPr>
            </w:pPr>
            <w:r w:rsidRPr="00B97C30">
              <w:rPr>
                <w:rFonts w:cs="Arial"/>
                <w:sz w:val="16"/>
                <w:szCs w:val="16"/>
              </w:rPr>
              <w:t>Civil engineering</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szCs w:val="20"/>
              </w:rPr>
            </w:pP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szCs w:val="20"/>
              </w:rPr>
            </w:pPr>
          </w:p>
        </w:tc>
        <w:tc>
          <w:tcPr>
            <w:tcW w:w="1407"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szCs w:val="20"/>
              </w:rPr>
            </w:pPr>
          </w:p>
        </w:tc>
      </w:tr>
      <w:tr w:rsidR="006631FB" w:rsidRPr="00B97C30" w:rsidTr="006631FB">
        <w:trPr>
          <w:trHeight w:val="284"/>
          <w:jc w:val="center"/>
        </w:trPr>
        <w:tc>
          <w:tcPr>
            <w:tcW w:w="3448" w:type="dxa"/>
            <w:tcBorders>
              <w:right w:val="single" w:sz="4" w:space="0" w:color="auto"/>
            </w:tcBorders>
            <w:shd w:val="clear" w:color="auto" w:fill="auto"/>
            <w:vAlign w:val="bottom"/>
          </w:tcPr>
          <w:p w:rsidR="006631FB" w:rsidRPr="00B97C30" w:rsidRDefault="006631FB" w:rsidP="006631FB">
            <w:pPr>
              <w:spacing w:before="20" w:after="20" w:line="312" w:lineRule="auto"/>
              <w:rPr>
                <w:rFonts w:cs="Arial"/>
                <w:bCs/>
                <w:sz w:val="16"/>
                <w:szCs w:val="16"/>
              </w:rPr>
            </w:pPr>
            <w:r w:rsidRPr="00B97C30">
              <w:rPr>
                <w:rFonts w:cs="Arial"/>
                <w:sz w:val="16"/>
                <w:szCs w:val="16"/>
              </w:rPr>
              <w:t xml:space="preserve">     Number</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106.0</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113.0</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124.8</w:t>
            </w:r>
          </w:p>
        </w:tc>
        <w:tc>
          <w:tcPr>
            <w:tcW w:w="1407"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109.4</w:t>
            </w:r>
          </w:p>
        </w:tc>
      </w:tr>
      <w:tr w:rsidR="006631FB" w:rsidRPr="00B97C30" w:rsidTr="006631FB">
        <w:trPr>
          <w:trHeight w:val="284"/>
          <w:jc w:val="center"/>
        </w:trPr>
        <w:tc>
          <w:tcPr>
            <w:tcW w:w="3448" w:type="dxa"/>
            <w:tcBorders>
              <w:right w:val="single" w:sz="4" w:space="0" w:color="auto"/>
            </w:tcBorders>
            <w:shd w:val="clear" w:color="auto" w:fill="auto"/>
            <w:vAlign w:val="bottom"/>
          </w:tcPr>
          <w:p w:rsidR="006631FB" w:rsidRPr="00B97C30" w:rsidRDefault="006631FB" w:rsidP="006631FB">
            <w:pPr>
              <w:spacing w:before="20" w:after="20" w:line="312" w:lineRule="auto"/>
              <w:ind w:left="227"/>
              <w:rPr>
                <w:rFonts w:cs="Arial"/>
                <w:sz w:val="16"/>
                <w:szCs w:val="16"/>
              </w:rPr>
            </w:pPr>
            <w:r w:rsidRPr="00B97C30">
              <w:rPr>
                <w:rFonts w:cs="Arial"/>
                <w:sz w:val="16"/>
                <w:szCs w:val="16"/>
              </w:rPr>
              <w:t>Anticipated value of works</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166.1</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30.8</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175.6</w:t>
            </w:r>
          </w:p>
        </w:tc>
        <w:tc>
          <w:tcPr>
            <w:tcW w:w="1407"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58.1</w:t>
            </w:r>
          </w:p>
        </w:tc>
      </w:tr>
      <w:tr w:rsidR="006631FB" w:rsidRPr="00B97C30" w:rsidTr="006631FB">
        <w:trPr>
          <w:trHeight w:val="284"/>
          <w:jc w:val="center"/>
        </w:trPr>
        <w:tc>
          <w:tcPr>
            <w:tcW w:w="3448" w:type="dxa"/>
            <w:tcBorders>
              <w:right w:val="single" w:sz="4" w:space="0" w:color="auto"/>
            </w:tcBorders>
            <w:shd w:val="clear" w:color="auto" w:fill="auto"/>
            <w:vAlign w:val="bottom"/>
          </w:tcPr>
          <w:p w:rsidR="006631FB" w:rsidRPr="00B97C30" w:rsidRDefault="006631FB" w:rsidP="006631FB">
            <w:pPr>
              <w:spacing w:before="20" w:after="20" w:line="312" w:lineRule="auto"/>
              <w:rPr>
                <w:rFonts w:cs="Arial"/>
                <w:sz w:val="16"/>
                <w:szCs w:val="16"/>
              </w:rPr>
            </w:pPr>
            <w:r w:rsidRPr="00B97C30">
              <w:rPr>
                <w:rFonts w:cs="Arial"/>
                <w:sz w:val="16"/>
                <w:szCs w:val="16"/>
              </w:rPr>
              <w:t>Dwellings</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szCs w:val="20"/>
              </w:rPr>
            </w:pP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szCs w:val="20"/>
              </w:rPr>
            </w:pPr>
          </w:p>
        </w:tc>
        <w:tc>
          <w:tcPr>
            <w:tcW w:w="1407"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szCs w:val="20"/>
              </w:rPr>
            </w:pPr>
          </w:p>
        </w:tc>
      </w:tr>
      <w:tr w:rsidR="006631FB" w:rsidRPr="00B97C30" w:rsidTr="006631FB">
        <w:trPr>
          <w:trHeight w:val="284"/>
          <w:jc w:val="center"/>
        </w:trPr>
        <w:tc>
          <w:tcPr>
            <w:tcW w:w="3448" w:type="dxa"/>
            <w:tcBorders>
              <w:right w:val="single" w:sz="4" w:space="0" w:color="auto"/>
            </w:tcBorders>
            <w:shd w:val="clear" w:color="auto" w:fill="auto"/>
            <w:vAlign w:val="bottom"/>
          </w:tcPr>
          <w:p w:rsidR="006631FB" w:rsidRPr="00B97C30" w:rsidRDefault="006631FB" w:rsidP="006631FB">
            <w:pPr>
              <w:spacing w:before="20" w:after="20" w:line="312" w:lineRule="auto"/>
              <w:rPr>
                <w:rFonts w:cs="Arial"/>
                <w:bCs/>
                <w:sz w:val="16"/>
                <w:szCs w:val="16"/>
              </w:rPr>
            </w:pPr>
            <w:r w:rsidRPr="00B97C30">
              <w:rPr>
                <w:rFonts w:cs="Arial"/>
                <w:sz w:val="16"/>
                <w:szCs w:val="16"/>
              </w:rPr>
              <w:t xml:space="preserve">     Number</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143.3</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193.7</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135.1</w:t>
            </w:r>
          </w:p>
        </w:tc>
        <w:tc>
          <w:tcPr>
            <w:tcW w:w="1407" w:type="dxa"/>
            <w:tcBorders>
              <w:top w:val="nil"/>
              <w:left w:val="nil"/>
              <w:bottom w:val="nil"/>
              <w:right w:val="nil"/>
            </w:tcBorders>
            <w:shd w:val="clear" w:color="auto" w:fill="auto"/>
            <w:tcMar>
              <w:right w:w="28" w:type="dxa"/>
            </w:tcMar>
            <w:vAlign w:val="center"/>
          </w:tcPr>
          <w:p w:rsidR="006631FB" w:rsidRPr="00D77C79" w:rsidRDefault="006631FB" w:rsidP="006631FB">
            <w:pPr>
              <w:spacing w:line="360" w:lineRule="auto"/>
              <w:ind w:right="284"/>
              <w:jc w:val="right"/>
              <w:rPr>
                <w:rFonts w:cs="Arial"/>
                <w:color w:val="000000"/>
                <w:sz w:val="16"/>
                <w:szCs w:val="16"/>
              </w:rPr>
            </w:pPr>
            <w:r w:rsidRPr="00D77C79">
              <w:rPr>
                <w:rFonts w:cs="Arial"/>
                <w:color w:val="000000"/>
                <w:sz w:val="16"/>
                <w:szCs w:val="16"/>
              </w:rPr>
              <w:t>152.2</w:t>
            </w:r>
          </w:p>
        </w:tc>
      </w:tr>
      <w:tr w:rsidR="006631FB" w:rsidRPr="00B97C30" w:rsidTr="006631FB">
        <w:trPr>
          <w:trHeight w:val="284"/>
          <w:jc w:val="center"/>
        </w:trPr>
        <w:tc>
          <w:tcPr>
            <w:tcW w:w="3448" w:type="dxa"/>
            <w:tcBorders>
              <w:right w:val="single" w:sz="4" w:space="0" w:color="auto"/>
            </w:tcBorders>
            <w:shd w:val="clear" w:color="auto" w:fill="auto"/>
            <w:vAlign w:val="bottom"/>
          </w:tcPr>
          <w:p w:rsidR="006631FB" w:rsidRPr="00B97C30" w:rsidRDefault="006631FB" w:rsidP="006631FB">
            <w:pPr>
              <w:spacing w:before="20" w:after="20" w:line="312" w:lineRule="auto"/>
              <w:ind w:left="227"/>
              <w:rPr>
                <w:rFonts w:cs="Arial"/>
                <w:sz w:val="16"/>
                <w:szCs w:val="16"/>
              </w:rPr>
            </w:pPr>
            <w:r w:rsidRPr="00B97C30">
              <w:rPr>
                <w:rFonts w:cs="Arial"/>
                <w:sz w:val="16"/>
                <w:szCs w:val="16"/>
              </w:rPr>
              <w:t>Useful area</w:t>
            </w:r>
          </w:p>
        </w:tc>
        <w:tc>
          <w:tcPr>
            <w:tcW w:w="1483" w:type="dxa"/>
            <w:tcBorders>
              <w:top w:val="nil"/>
              <w:left w:val="nil"/>
              <w:bottom w:val="nil"/>
              <w:right w:val="nil"/>
            </w:tcBorders>
            <w:shd w:val="clear" w:color="auto" w:fill="auto"/>
            <w:tcMar>
              <w:right w:w="28" w:type="dxa"/>
            </w:tcMar>
            <w:vAlign w:val="center"/>
          </w:tcPr>
          <w:p w:rsidR="006631FB" w:rsidRPr="00D77C79" w:rsidRDefault="00FB35F4" w:rsidP="006631FB">
            <w:pPr>
              <w:spacing w:line="360" w:lineRule="auto"/>
              <w:ind w:right="284"/>
              <w:jc w:val="right"/>
              <w:rPr>
                <w:rFonts w:cs="Arial"/>
                <w:color w:val="000000"/>
                <w:sz w:val="16"/>
                <w:szCs w:val="16"/>
              </w:rPr>
            </w:pPr>
            <w:r w:rsidRPr="00D77C79">
              <w:rPr>
                <w:rFonts w:cs="Arial"/>
                <w:color w:val="000000"/>
                <w:sz w:val="16"/>
                <w:szCs w:val="16"/>
              </w:rPr>
              <w:t>143.5</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FB35F4">
            <w:pPr>
              <w:spacing w:line="360" w:lineRule="auto"/>
              <w:ind w:right="284"/>
              <w:jc w:val="right"/>
              <w:rPr>
                <w:rFonts w:cs="Arial"/>
                <w:color w:val="000000"/>
                <w:sz w:val="16"/>
                <w:szCs w:val="16"/>
              </w:rPr>
            </w:pPr>
            <w:r w:rsidRPr="00D77C79">
              <w:rPr>
                <w:rFonts w:cs="Arial"/>
                <w:color w:val="000000"/>
                <w:sz w:val="16"/>
                <w:szCs w:val="16"/>
              </w:rPr>
              <w:t>1</w:t>
            </w:r>
            <w:r w:rsidR="00FB35F4" w:rsidRPr="00D77C79">
              <w:rPr>
                <w:rFonts w:cs="Arial"/>
                <w:color w:val="000000"/>
                <w:sz w:val="16"/>
                <w:szCs w:val="16"/>
              </w:rPr>
              <w:t>89.6</w:t>
            </w:r>
          </w:p>
        </w:tc>
        <w:tc>
          <w:tcPr>
            <w:tcW w:w="1483" w:type="dxa"/>
            <w:tcBorders>
              <w:top w:val="nil"/>
              <w:left w:val="nil"/>
              <w:bottom w:val="nil"/>
              <w:right w:val="nil"/>
            </w:tcBorders>
            <w:shd w:val="clear" w:color="auto" w:fill="auto"/>
            <w:tcMar>
              <w:right w:w="28" w:type="dxa"/>
            </w:tcMar>
            <w:vAlign w:val="center"/>
          </w:tcPr>
          <w:p w:rsidR="006631FB" w:rsidRPr="00D77C79" w:rsidRDefault="006631FB" w:rsidP="00FB35F4">
            <w:pPr>
              <w:spacing w:line="360" w:lineRule="auto"/>
              <w:ind w:right="284"/>
              <w:jc w:val="right"/>
              <w:rPr>
                <w:rFonts w:cs="Arial"/>
                <w:color w:val="000000"/>
                <w:sz w:val="16"/>
                <w:szCs w:val="16"/>
              </w:rPr>
            </w:pPr>
            <w:r w:rsidRPr="00D77C79">
              <w:rPr>
                <w:rFonts w:cs="Arial"/>
                <w:color w:val="000000"/>
                <w:sz w:val="16"/>
                <w:szCs w:val="16"/>
              </w:rPr>
              <w:t>13</w:t>
            </w:r>
            <w:r w:rsidR="00FB35F4" w:rsidRPr="00D77C79">
              <w:rPr>
                <w:rFonts w:cs="Arial"/>
                <w:color w:val="000000"/>
                <w:sz w:val="16"/>
                <w:szCs w:val="16"/>
              </w:rPr>
              <w:t>1.9</w:t>
            </w:r>
          </w:p>
        </w:tc>
        <w:tc>
          <w:tcPr>
            <w:tcW w:w="1407" w:type="dxa"/>
            <w:tcBorders>
              <w:top w:val="nil"/>
              <w:left w:val="nil"/>
              <w:bottom w:val="nil"/>
              <w:right w:val="nil"/>
            </w:tcBorders>
            <w:shd w:val="clear" w:color="auto" w:fill="auto"/>
            <w:tcMar>
              <w:right w:w="28" w:type="dxa"/>
            </w:tcMar>
            <w:vAlign w:val="center"/>
          </w:tcPr>
          <w:p w:rsidR="006631FB" w:rsidRPr="00D77C79" w:rsidRDefault="006631FB" w:rsidP="00FB35F4">
            <w:pPr>
              <w:spacing w:line="360" w:lineRule="auto"/>
              <w:ind w:right="284"/>
              <w:jc w:val="right"/>
              <w:rPr>
                <w:rFonts w:cs="Arial"/>
                <w:color w:val="000000"/>
                <w:sz w:val="16"/>
                <w:szCs w:val="16"/>
              </w:rPr>
            </w:pPr>
            <w:r w:rsidRPr="00D77C79">
              <w:rPr>
                <w:rFonts w:cs="Arial"/>
                <w:color w:val="000000"/>
                <w:sz w:val="16"/>
                <w:szCs w:val="16"/>
              </w:rPr>
              <w:t>1</w:t>
            </w:r>
            <w:r w:rsidR="00FB35F4" w:rsidRPr="00D77C79">
              <w:rPr>
                <w:rFonts w:cs="Arial"/>
                <w:color w:val="000000"/>
                <w:sz w:val="16"/>
                <w:szCs w:val="16"/>
              </w:rPr>
              <w:t>5</w:t>
            </w:r>
            <w:r w:rsidRPr="00D77C79">
              <w:rPr>
                <w:rFonts w:cs="Arial"/>
                <w:color w:val="000000"/>
                <w:sz w:val="16"/>
                <w:szCs w:val="16"/>
              </w:rPr>
              <w:t>6.</w:t>
            </w:r>
            <w:r w:rsidR="00FB35F4" w:rsidRPr="00D77C79">
              <w:rPr>
                <w:rFonts w:cs="Arial"/>
                <w:color w:val="000000"/>
                <w:sz w:val="16"/>
                <w:szCs w:val="16"/>
              </w:rPr>
              <w:t>7</w:t>
            </w:r>
            <w:bookmarkStart w:id="0" w:name="_GoBack"/>
            <w:bookmarkEnd w:id="0"/>
          </w:p>
        </w:tc>
      </w:tr>
    </w:tbl>
    <w:p w:rsidR="00D77E17" w:rsidRPr="00B97C30" w:rsidRDefault="00D77E17" w:rsidP="002A4E31">
      <w:pPr>
        <w:spacing w:before="120" w:after="120"/>
        <w:jc w:val="center"/>
        <w:rPr>
          <w:rFonts w:cs="Arial"/>
          <w:b/>
          <w:bCs/>
          <w:szCs w:val="20"/>
        </w:rPr>
      </w:pPr>
    </w:p>
    <w:p w:rsidR="004C0C2A" w:rsidRPr="00B97C30" w:rsidRDefault="004C0C2A" w:rsidP="002A4E31">
      <w:pPr>
        <w:spacing w:before="120" w:after="120"/>
        <w:jc w:val="center"/>
        <w:rPr>
          <w:rFonts w:cs="Arial"/>
          <w:b/>
          <w:bCs/>
          <w:szCs w:val="20"/>
        </w:rPr>
      </w:pPr>
    </w:p>
    <w:p w:rsidR="00B72316" w:rsidRPr="00B97C30" w:rsidRDefault="00B72316" w:rsidP="00B72316">
      <w:pPr>
        <w:pStyle w:val="Heading8"/>
        <w:spacing w:before="0" w:after="0" w:line="252" w:lineRule="auto"/>
        <w:rPr>
          <w:rFonts w:ascii="Arial" w:hAnsi="Arial" w:cs="Arial"/>
          <w:b/>
          <w:i w:val="0"/>
          <w:sz w:val="20"/>
          <w:szCs w:val="20"/>
        </w:rPr>
      </w:pPr>
      <w:r w:rsidRPr="00B97C30">
        <w:rPr>
          <w:rFonts w:ascii="Arial" w:hAnsi="Arial" w:cs="Arial"/>
          <w:b/>
          <w:i w:val="0"/>
          <w:sz w:val="20"/>
          <w:szCs w:val="20"/>
        </w:rPr>
        <w:t>Not</w:t>
      </w:r>
      <w:r w:rsidR="00480E1B" w:rsidRPr="00B97C30">
        <w:rPr>
          <w:rFonts w:ascii="Arial" w:hAnsi="Arial" w:cs="Arial"/>
          <w:b/>
          <w:i w:val="0"/>
          <w:sz w:val="20"/>
          <w:szCs w:val="20"/>
        </w:rPr>
        <w:t>e</w:t>
      </w:r>
      <w:r w:rsidRPr="00B97C30">
        <w:rPr>
          <w:rFonts w:ascii="Arial" w:hAnsi="Arial" w:cs="Arial"/>
          <w:b/>
          <w:i w:val="0"/>
          <w:sz w:val="20"/>
          <w:szCs w:val="20"/>
        </w:rPr>
        <w:t>s:</w:t>
      </w:r>
    </w:p>
    <w:p w:rsidR="002B7ECD" w:rsidRPr="00B97C30" w:rsidRDefault="002B7ECD" w:rsidP="002B7ECD">
      <w:pPr>
        <w:ind w:firstLine="397"/>
        <w:jc w:val="both"/>
        <w:rPr>
          <w:rFonts w:cs="Arial"/>
          <w:sz w:val="18"/>
          <w:szCs w:val="18"/>
        </w:rPr>
      </w:pPr>
    </w:p>
    <w:p w:rsidR="002B7ECD" w:rsidRPr="00B97C30" w:rsidRDefault="002B7ECD" w:rsidP="002B7ECD">
      <w:pPr>
        <w:ind w:firstLine="397"/>
        <w:jc w:val="both"/>
        <w:rPr>
          <w:rFonts w:cs="Arial"/>
          <w:sz w:val="6"/>
          <w:szCs w:val="6"/>
        </w:rPr>
      </w:pPr>
    </w:p>
    <w:p w:rsidR="002B7ECD" w:rsidRPr="00B97C30" w:rsidRDefault="002B7ECD" w:rsidP="002B7ECD">
      <w:pPr>
        <w:ind w:firstLine="397"/>
        <w:jc w:val="both"/>
        <w:rPr>
          <w:rFonts w:cs="Arial"/>
          <w:sz w:val="6"/>
          <w:szCs w:val="6"/>
        </w:rPr>
      </w:pPr>
    </w:p>
    <w:p w:rsidR="00B72316" w:rsidRPr="00B97C30" w:rsidRDefault="00E66105" w:rsidP="00F31E62">
      <w:pPr>
        <w:spacing w:before="120"/>
        <w:ind w:firstLine="397"/>
        <w:jc w:val="both"/>
        <w:rPr>
          <w:rFonts w:cs="Arial"/>
          <w:sz w:val="18"/>
          <w:szCs w:val="18"/>
        </w:rPr>
      </w:pPr>
      <w:r w:rsidRPr="00B97C30">
        <w:rPr>
          <w:rFonts w:cs="Arial"/>
          <w:sz w:val="18"/>
          <w:szCs w:val="18"/>
        </w:rPr>
        <w:t xml:space="preserve">The data on issued building permits are overtaken from the </w:t>
      </w:r>
      <w:r w:rsidR="004865A2" w:rsidRPr="00B97C30">
        <w:rPr>
          <w:rFonts w:cs="Arial"/>
          <w:sz w:val="18"/>
          <w:szCs w:val="18"/>
        </w:rPr>
        <w:t xml:space="preserve">Central </w:t>
      </w:r>
      <w:r w:rsidR="00C51C0F" w:rsidRPr="00B97C30">
        <w:rPr>
          <w:rFonts w:cs="Arial"/>
          <w:sz w:val="18"/>
          <w:szCs w:val="18"/>
        </w:rPr>
        <w:t>Register of Integrated Procedures</w:t>
      </w:r>
      <w:r w:rsidR="00496649" w:rsidRPr="00B97C30">
        <w:rPr>
          <w:rFonts w:cs="Arial"/>
          <w:sz w:val="18"/>
          <w:szCs w:val="18"/>
        </w:rPr>
        <w:t xml:space="preserve">, which has been, according to the Law on planning and construction (“Official Gazette of the Republic of Serbia“, number 132/14, article 8) </w:t>
      </w:r>
      <w:r w:rsidR="004865A2" w:rsidRPr="00B97C30">
        <w:rPr>
          <w:rFonts w:cs="Arial"/>
          <w:sz w:val="18"/>
          <w:szCs w:val="18"/>
        </w:rPr>
        <w:t>administered</w:t>
      </w:r>
      <w:r w:rsidR="00496649" w:rsidRPr="00B97C30">
        <w:rPr>
          <w:rFonts w:cs="Arial"/>
          <w:sz w:val="18"/>
          <w:szCs w:val="18"/>
        </w:rPr>
        <w:t xml:space="preserve"> by the </w:t>
      </w:r>
      <w:r w:rsidR="004865A2" w:rsidRPr="00B97C30">
        <w:rPr>
          <w:rFonts w:cs="Arial"/>
          <w:sz w:val="18"/>
          <w:szCs w:val="18"/>
        </w:rPr>
        <w:t xml:space="preserve">Serbian </w:t>
      </w:r>
      <w:r w:rsidR="00496649" w:rsidRPr="00B97C30">
        <w:rPr>
          <w:rFonts w:cs="Arial"/>
          <w:sz w:val="18"/>
          <w:szCs w:val="18"/>
        </w:rPr>
        <w:t xml:space="preserve">Business </w:t>
      </w:r>
      <w:r w:rsidR="004865A2" w:rsidRPr="00B97C30">
        <w:rPr>
          <w:rFonts w:cs="Arial"/>
          <w:sz w:val="18"/>
          <w:szCs w:val="18"/>
        </w:rPr>
        <w:t>R</w:t>
      </w:r>
      <w:r w:rsidR="00496649" w:rsidRPr="00B97C30">
        <w:rPr>
          <w:rFonts w:cs="Arial"/>
          <w:sz w:val="18"/>
          <w:szCs w:val="18"/>
        </w:rPr>
        <w:t>egister</w:t>
      </w:r>
      <w:r w:rsidR="004865A2" w:rsidRPr="00B97C30">
        <w:rPr>
          <w:rFonts w:cs="Arial"/>
          <w:sz w:val="18"/>
          <w:szCs w:val="18"/>
        </w:rPr>
        <w:t>s</w:t>
      </w:r>
      <w:r w:rsidR="00496649" w:rsidRPr="00B97C30">
        <w:rPr>
          <w:rFonts w:cs="Arial"/>
          <w:sz w:val="18"/>
          <w:szCs w:val="18"/>
        </w:rPr>
        <w:t xml:space="preserve"> Agency (</w:t>
      </w:r>
      <w:r w:rsidR="004865A2" w:rsidRPr="00B97C30">
        <w:rPr>
          <w:rFonts w:cs="Arial"/>
          <w:sz w:val="18"/>
          <w:szCs w:val="18"/>
        </w:rPr>
        <w:t>S</w:t>
      </w:r>
      <w:r w:rsidR="00496649" w:rsidRPr="00B97C30">
        <w:rPr>
          <w:rFonts w:cs="Arial"/>
          <w:sz w:val="18"/>
          <w:szCs w:val="18"/>
        </w:rPr>
        <w:t xml:space="preserve">BRA). </w:t>
      </w:r>
      <w:r w:rsidR="00B72316" w:rsidRPr="00B97C30">
        <w:rPr>
          <w:rFonts w:cs="Arial"/>
          <w:sz w:val="18"/>
          <w:szCs w:val="18"/>
        </w:rPr>
        <w:t xml:space="preserve">The </w:t>
      </w:r>
      <w:r w:rsidR="00496649" w:rsidRPr="00B97C30">
        <w:rPr>
          <w:rFonts w:cs="Arial"/>
          <w:sz w:val="18"/>
          <w:szCs w:val="18"/>
        </w:rPr>
        <w:t xml:space="preserve">data on dwellings, unavailable in </w:t>
      </w:r>
      <w:r w:rsidR="00C51C0F" w:rsidRPr="00B97C30">
        <w:rPr>
          <w:rFonts w:cs="Arial"/>
          <w:sz w:val="18"/>
          <w:szCs w:val="18"/>
        </w:rPr>
        <w:t>Central Register of Integrated Procedures</w:t>
      </w:r>
      <w:r w:rsidR="00496649" w:rsidRPr="00B97C30">
        <w:rPr>
          <w:rFonts w:cs="Arial"/>
          <w:sz w:val="18"/>
          <w:szCs w:val="18"/>
        </w:rPr>
        <w:t>, are</w:t>
      </w:r>
      <w:r w:rsidR="00B72316" w:rsidRPr="00B97C30">
        <w:rPr>
          <w:rFonts w:cs="Arial"/>
          <w:sz w:val="18"/>
          <w:szCs w:val="18"/>
        </w:rPr>
        <w:t xml:space="preserve"> filled</w:t>
      </w:r>
      <w:r w:rsidR="002B7ECD" w:rsidRPr="00B97C30">
        <w:rPr>
          <w:rFonts w:cs="Arial"/>
          <w:sz w:val="18"/>
          <w:szCs w:val="18"/>
        </w:rPr>
        <w:t xml:space="preserve"> in</w:t>
      </w:r>
      <w:r w:rsidR="00B72316" w:rsidRPr="00B97C30">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B97C30">
        <w:rPr>
          <w:rFonts w:cs="Arial"/>
          <w:sz w:val="18"/>
          <w:szCs w:val="18"/>
        </w:rPr>
        <w:t>Gazette</w:t>
      </w:r>
      <w:r w:rsidR="00B72316" w:rsidRPr="00B97C30">
        <w:rPr>
          <w:rFonts w:cs="Arial"/>
          <w:sz w:val="18"/>
          <w:szCs w:val="18"/>
        </w:rPr>
        <w:t xml:space="preserve"> of the Republic of Serbia“, number </w:t>
      </w:r>
      <w:r w:rsidR="004B48FB" w:rsidRPr="00B97C30">
        <w:rPr>
          <w:rFonts w:cs="Arial"/>
          <w:sz w:val="18"/>
          <w:szCs w:val="18"/>
        </w:rPr>
        <w:t>132/14</w:t>
      </w:r>
      <w:r w:rsidR="00B72316" w:rsidRPr="00B97C30">
        <w:rPr>
          <w:rFonts w:cs="Arial"/>
          <w:sz w:val="18"/>
          <w:szCs w:val="18"/>
        </w:rPr>
        <w:t>, article 1</w:t>
      </w:r>
      <w:r w:rsidR="004B48FB" w:rsidRPr="00B97C30">
        <w:rPr>
          <w:rFonts w:cs="Arial"/>
          <w:sz w:val="18"/>
          <w:szCs w:val="18"/>
        </w:rPr>
        <w:t>33), issue construction permits.</w:t>
      </w:r>
    </w:p>
    <w:p w:rsidR="00B72316" w:rsidRPr="00B97C30" w:rsidRDefault="00B72316" w:rsidP="00F31E62">
      <w:pPr>
        <w:spacing w:before="120"/>
        <w:ind w:firstLine="397"/>
        <w:jc w:val="both"/>
        <w:rPr>
          <w:rFonts w:cs="Arial"/>
          <w:sz w:val="18"/>
          <w:szCs w:val="18"/>
        </w:rPr>
      </w:pPr>
      <w:r w:rsidRPr="00B97C30">
        <w:rPr>
          <w:rFonts w:cs="Arial"/>
          <w:sz w:val="18"/>
          <w:szCs w:val="18"/>
        </w:rPr>
        <w:t>In the scope of this survey, the concept of „building permit“</w:t>
      </w:r>
      <w:r w:rsidR="009A497A" w:rsidRPr="00B97C30">
        <w:rPr>
          <w:rFonts w:cs="Arial"/>
          <w:sz w:val="18"/>
          <w:szCs w:val="18"/>
        </w:rPr>
        <w:t xml:space="preserve"> </w:t>
      </w:r>
      <w:r w:rsidR="002B7ECD" w:rsidRPr="00B97C30">
        <w:rPr>
          <w:rFonts w:cs="Arial"/>
          <w:sz w:val="18"/>
          <w:szCs w:val="18"/>
        </w:rPr>
        <w:t>comprises the</w:t>
      </w:r>
      <w:r w:rsidRPr="00B97C30">
        <w:rPr>
          <w:rFonts w:cs="Arial"/>
          <w:sz w:val="18"/>
          <w:szCs w:val="18"/>
        </w:rPr>
        <w:t xml:space="preserve"> </w:t>
      </w:r>
      <w:r w:rsidRPr="00B97C30">
        <w:rPr>
          <w:rFonts w:cs="Arial"/>
          <w:bCs/>
          <w:sz w:val="18"/>
          <w:szCs w:val="18"/>
        </w:rPr>
        <w:t xml:space="preserve">building permit for construction and </w:t>
      </w:r>
      <w:r w:rsidRPr="00B97C30">
        <w:rPr>
          <w:rStyle w:val="longtext1"/>
          <w:rFonts w:cs="Arial"/>
          <w:sz w:val="18"/>
          <w:szCs w:val="18"/>
          <w:shd w:val="clear" w:color="auto" w:fill="FFFFFF"/>
        </w:rPr>
        <w:t>the decision which approves the execution of works</w:t>
      </w:r>
      <w:r w:rsidR="00F403CE" w:rsidRPr="00B97C30">
        <w:rPr>
          <w:rStyle w:val="longtext1"/>
          <w:rFonts w:cs="Arial"/>
          <w:sz w:val="18"/>
          <w:szCs w:val="18"/>
          <w:shd w:val="clear" w:color="auto" w:fill="FFFFFF"/>
        </w:rPr>
        <w:t xml:space="preserve"> following the article 145 of the Law on planning and construction. The issued building permits and approvals for </w:t>
      </w:r>
      <w:r w:rsidR="005A2292" w:rsidRPr="00B97C30">
        <w:rPr>
          <w:rStyle w:val="longtext1"/>
          <w:rFonts w:cs="Arial"/>
          <w:sz w:val="18"/>
          <w:szCs w:val="18"/>
          <w:shd w:val="clear" w:color="auto" w:fill="FFFFFF"/>
        </w:rPr>
        <w:t xml:space="preserve">works </w:t>
      </w:r>
      <w:r w:rsidR="00F403CE" w:rsidRPr="00B97C30">
        <w:rPr>
          <w:rStyle w:val="longtext1"/>
          <w:rFonts w:cs="Arial"/>
          <w:sz w:val="18"/>
          <w:szCs w:val="18"/>
          <w:shd w:val="clear" w:color="auto" w:fill="FFFFFF"/>
        </w:rPr>
        <w:t>executions</w:t>
      </w:r>
      <w:r w:rsidR="00CE1ED8" w:rsidRPr="00B97C30">
        <w:rPr>
          <w:rStyle w:val="longtext1"/>
          <w:rFonts w:cs="Arial"/>
          <w:sz w:val="18"/>
          <w:szCs w:val="18"/>
          <w:shd w:val="clear" w:color="auto" w:fill="FFFFFF"/>
        </w:rPr>
        <w:t>,</w:t>
      </w:r>
      <w:r w:rsidR="00F403CE" w:rsidRPr="00B97C30">
        <w:rPr>
          <w:rStyle w:val="longtext1"/>
          <w:rFonts w:cs="Arial"/>
          <w:sz w:val="18"/>
          <w:szCs w:val="18"/>
          <w:shd w:val="clear" w:color="auto" w:fill="FFFFFF"/>
        </w:rPr>
        <w:t xml:space="preserve"> based on harmonized request</w:t>
      </w:r>
      <w:r w:rsidR="00CE1ED8" w:rsidRPr="00B97C30">
        <w:rPr>
          <w:rStyle w:val="longtext1"/>
          <w:rFonts w:cs="Arial"/>
          <w:sz w:val="18"/>
          <w:szCs w:val="18"/>
          <w:shd w:val="clear" w:color="auto" w:fill="FFFFFF"/>
        </w:rPr>
        <w:t>,</w:t>
      </w:r>
      <w:r w:rsidR="00F403CE" w:rsidRPr="00B97C30">
        <w:rPr>
          <w:rStyle w:val="longtext1"/>
          <w:rFonts w:cs="Arial"/>
          <w:sz w:val="18"/>
          <w:szCs w:val="18"/>
          <w:shd w:val="clear" w:color="auto" w:fill="FFFFFF"/>
        </w:rPr>
        <w:t xml:space="preserve"> included </w:t>
      </w:r>
      <w:r w:rsidR="00CE1ED8" w:rsidRPr="00B97C30">
        <w:rPr>
          <w:rStyle w:val="longtext1"/>
          <w:rFonts w:cs="Arial"/>
          <w:sz w:val="18"/>
          <w:szCs w:val="18"/>
          <w:shd w:val="clear" w:color="auto" w:fill="FFFFFF"/>
        </w:rPr>
        <w:t xml:space="preserve">are </w:t>
      </w:r>
      <w:r w:rsidR="00F403CE" w:rsidRPr="00B97C30">
        <w:rPr>
          <w:rStyle w:val="longtext1"/>
          <w:rFonts w:cs="Arial"/>
          <w:sz w:val="18"/>
          <w:szCs w:val="18"/>
          <w:shd w:val="clear" w:color="auto" w:fill="FFFFFF"/>
        </w:rPr>
        <w:t xml:space="preserve">only if the construction is approved for the first time. </w:t>
      </w:r>
      <w:r w:rsidRPr="00B97C30">
        <w:rPr>
          <w:rFonts w:cs="Arial"/>
          <w:sz w:val="18"/>
          <w:szCs w:val="18"/>
        </w:rPr>
        <w:t xml:space="preserve"> </w:t>
      </w:r>
    </w:p>
    <w:p w:rsidR="00B72316" w:rsidRPr="00B97C30" w:rsidRDefault="00B72316" w:rsidP="00F31E62">
      <w:pPr>
        <w:spacing w:before="120"/>
        <w:ind w:firstLine="397"/>
        <w:jc w:val="both"/>
        <w:rPr>
          <w:rFonts w:cs="Arial"/>
          <w:sz w:val="18"/>
          <w:szCs w:val="18"/>
        </w:rPr>
      </w:pPr>
      <w:r w:rsidRPr="00B97C30">
        <w:rPr>
          <w:rFonts w:cs="Arial"/>
          <w:sz w:val="18"/>
          <w:szCs w:val="18"/>
        </w:rPr>
        <w:t xml:space="preserve">This statistical survey comprises the issued building permits for all types of constructions described in the Classification of Types of Constructions, i.e. </w:t>
      </w:r>
      <w:r w:rsidRPr="00B97C30">
        <w:rPr>
          <w:rFonts w:cs="Arial"/>
          <w:iCs/>
          <w:sz w:val="18"/>
          <w:szCs w:val="18"/>
        </w:rPr>
        <w:t>buildings and other civil engineering works</w:t>
      </w:r>
      <w:r w:rsidRPr="00B97C30">
        <w:rPr>
          <w:rFonts w:cs="Arial"/>
          <w:sz w:val="18"/>
          <w:szCs w:val="18"/>
        </w:rPr>
        <w:t xml:space="preserve"> and these are presented by territories where the </w:t>
      </w:r>
      <w:r w:rsidR="002117C6" w:rsidRPr="00B97C30">
        <w:rPr>
          <w:rFonts w:cs="Arial"/>
          <w:sz w:val="18"/>
          <w:szCs w:val="18"/>
        </w:rPr>
        <w:t xml:space="preserve">planned </w:t>
      </w:r>
      <w:r w:rsidRPr="00B97C30">
        <w:rPr>
          <w:rFonts w:cs="Arial"/>
          <w:sz w:val="18"/>
          <w:szCs w:val="18"/>
        </w:rPr>
        <w:t>works are performed</w:t>
      </w:r>
      <w:r w:rsidR="002117C6" w:rsidRPr="00B97C30">
        <w:rPr>
          <w:rFonts w:cs="Arial"/>
          <w:sz w:val="18"/>
          <w:szCs w:val="18"/>
        </w:rPr>
        <w:t xml:space="preserve"> in the country</w:t>
      </w:r>
      <w:r w:rsidRPr="00B97C30">
        <w:rPr>
          <w:rFonts w:cs="Arial"/>
          <w:sz w:val="18"/>
          <w:szCs w:val="18"/>
        </w:rPr>
        <w:t>.</w:t>
      </w:r>
    </w:p>
    <w:p w:rsidR="00B07A43" w:rsidRPr="00B97C30" w:rsidRDefault="00B07A43" w:rsidP="00B07A43">
      <w:pPr>
        <w:ind w:firstLine="397"/>
        <w:jc w:val="both"/>
        <w:rPr>
          <w:rFonts w:cs="Arial"/>
          <w:sz w:val="6"/>
          <w:szCs w:val="6"/>
        </w:rPr>
      </w:pPr>
    </w:p>
    <w:p w:rsidR="00B72316" w:rsidRPr="00B97C30" w:rsidRDefault="00B72316" w:rsidP="00D619CD">
      <w:pPr>
        <w:spacing w:before="120"/>
        <w:ind w:firstLine="397"/>
        <w:jc w:val="both"/>
        <w:rPr>
          <w:rFonts w:cs="Arial"/>
          <w:bCs/>
          <w:sz w:val="18"/>
          <w:szCs w:val="18"/>
        </w:rPr>
      </w:pPr>
      <w:r w:rsidRPr="00B97C30">
        <w:rPr>
          <w:rFonts w:cs="Arial"/>
          <w:bCs/>
          <w:sz w:val="18"/>
          <w:szCs w:val="18"/>
        </w:rPr>
        <w:t xml:space="preserve">Data on issued building permits show the </w:t>
      </w:r>
      <w:r w:rsidR="00F403CE" w:rsidRPr="00B97C30">
        <w:rPr>
          <w:rFonts w:cs="Arial"/>
          <w:bCs/>
          <w:sz w:val="18"/>
          <w:szCs w:val="18"/>
        </w:rPr>
        <w:t>future trends</w:t>
      </w:r>
      <w:r w:rsidRPr="00B97C30">
        <w:rPr>
          <w:rFonts w:cs="Arial"/>
          <w:bCs/>
          <w:sz w:val="18"/>
          <w:szCs w:val="18"/>
        </w:rPr>
        <w:t xml:space="preserve"> of construction activity and enable an insight in investments’ structure on state and local self – government level. </w:t>
      </w:r>
    </w:p>
    <w:p w:rsidR="0027105D" w:rsidRPr="00B97C30" w:rsidRDefault="0027105D" w:rsidP="0027105D">
      <w:pPr>
        <w:ind w:firstLine="397"/>
        <w:jc w:val="both"/>
        <w:rPr>
          <w:rFonts w:cs="Arial"/>
          <w:sz w:val="6"/>
          <w:szCs w:val="6"/>
        </w:rPr>
      </w:pPr>
    </w:p>
    <w:p w:rsidR="00B72316" w:rsidRPr="00B97C30" w:rsidRDefault="00480E1B" w:rsidP="00F31E62">
      <w:pPr>
        <w:spacing w:before="120"/>
        <w:ind w:firstLine="397"/>
        <w:jc w:val="both"/>
        <w:rPr>
          <w:rFonts w:cs="Arial"/>
          <w:bCs/>
          <w:sz w:val="18"/>
          <w:szCs w:val="18"/>
        </w:rPr>
      </w:pPr>
      <w:r w:rsidRPr="00B97C30">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B97C30" w:rsidRDefault="00B72316" w:rsidP="00F31E62">
      <w:pPr>
        <w:spacing w:before="120"/>
        <w:ind w:firstLine="397"/>
        <w:jc w:val="both"/>
        <w:rPr>
          <w:rFonts w:cs="Arial"/>
          <w:sz w:val="18"/>
          <w:szCs w:val="18"/>
        </w:rPr>
      </w:pPr>
      <w:r w:rsidRPr="00B97C30">
        <w:rPr>
          <w:rFonts w:cs="Arial"/>
          <w:sz w:val="18"/>
          <w:szCs w:val="18"/>
        </w:rPr>
        <w:t>Detailed methodological notes of this survey can be found</w:t>
      </w:r>
      <w:r w:rsidR="00F80045" w:rsidRPr="00B97C30">
        <w:rPr>
          <w:rFonts w:cs="Arial"/>
          <w:sz w:val="18"/>
          <w:szCs w:val="18"/>
        </w:rPr>
        <w:t xml:space="preserve"> on the site of the Statistical Office of the Republic of Serbia</w:t>
      </w:r>
      <w:r w:rsidR="002117C6" w:rsidRPr="00B97C30">
        <w:rPr>
          <w:rFonts w:cs="Arial"/>
          <w:sz w:val="18"/>
          <w:szCs w:val="18"/>
        </w:rPr>
        <w:t>:</w:t>
      </w:r>
    </w:p>
    <w:p w:rsidR="002117C6" w:rsidRPr="00B97C30" w:rsidRDefault="00A939E7" w:rsidP="002117C6">
      <w:pPr>
        <w:spacing w:line="252" w:lineRule="auto"/>
        <w:ind w:firstLine="397"/>
        <w:jc w:val="both"/>
        <w:rPr>
          <w:rFonts w:cs="Arial"/>
          <w:sz w:val="6"/>
          <w:szCs w:val="6"/>
        </w:rPr>
      </w:pPr>
      <w:r w:rsidRPr="00B97C30">
        <w:rPr>
          <w:rFonts w:cs="Arial"/>
          <w:sz w:val="18"/>
          <w:szCs w:val="18"/>
        </w:rPr>
        <w:t xml:space="preserve"> </w:t>
      </w:r>
    </w:p>
    <w:p w:rsidR="00E25AFB" w:rsidRPr="00B97C30" w:rsidRDefault="00085CE9" w:rsidP="00E25AFB">
      <w:pPr>
        <w:autoSpaceDE w:val="0"/>
        <w:autoSpaceDN w:val="0"/>
        <w:adjustRightInd w:val="0"/>
        <w:ind w:firstLine="397"/>
        <w:jc w:val="both"/>
        <w:rPr>
          <w:rFonts w:cs="Arial"/>
          <w:bCs/>
          <w:sz w:val="18"/>
          <w:szCs w:val="18"/>
        </w:rPr>
      </w:pPr>
      <w:hyperlink r:id="rId10" w:history="1">
        <w:r w:rsidR="00E25AFB" w:rsidRPr="00B97C30">
          <w:rPr>
            <w:rStyle w:val="Hyperlink"/>
            <w:rFonts w:cs="Arial"/>
            <w:bCs/>
            <w:sz w:val="18"/>
            <w:szCs w:val="18"/>
          </w:rPr>
          <w:t>http://www.stat.gov.rs/istrazivanja/methodology-and-documents/?a=05&amp;s=0</w:t>
        </w:r>
      </w:hyperlink>
      <w:r w:rsidR="00E25AFB" w:rsidRPr="00B97C30">
        <w:rPr>
          <w:rFonts w:cs="Arial"/>
          <w:bCs/>
          <w:sz w:val="18"/>
          <w:szCs w:val="18"/>
        </w:rPr>
        <w:t xml:space="preserve">. </w:t>
      </w:r>
    </w:p>
    <w:p w:rsidR="00F403CE" w:rsidRPr="00B97C30" w:rsidRDefault="00B72316" w:rsidP="00F403CE">
      <w:pPr>
        <w:ind w:firstLine="397"/>
        <w:jc w:val="both"/>
        <w:rPr>
          <w:rFonts w:cs="Arial"/>
          <w:sz w:val="18"/>
          <w:szCs w:val="18"/>
        </w:rPr>
      </w:pPr>
      <w:r w:rsidRPr="00B97C30">
        <w:rPr>
          <w:b/>
          <w:bCs/>
          <w:i/>
          <w:sz w:val="18"/>
          <w:szCs w:val="18"/>
        </w:rPr>
        <w:tab/>
      </w:r>
      <w:r w:rsidR="00F403CE" w:rsidRPr="00B97C30">
        <w:rPr>
          <w:rFonts w:cs="Arial"/>
          <w:bCs/>
          <w:sz w:val="18"/>
          <w:szCs w:val="18"/>
        </w:rPr>
        <w:t xml:space="preserve"> </w:t>
      </w:r>
    </w:p>
    <w:p w:rsidR="00B72316" w:rsidRPr="00B97C30" w:rsidRDefault="00B72316" w:rsidP="007138E9">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B72316" w:rsidRPr="00B97C30" w:rsidTr="000F22A6">
        <w:tc>
          <w:tcPr>
            <w:tcW w:w="9379" w:type="dxa"/>
            <w:shd w:val="clear" w:color="auto" w:fill="auto"/>
          </w:tcPr>
          <w:p w:rsidR="00540044" w:rsidRPr="00B97C30" w:rsidRDefault="00A939E7" w:rsidP="00BD62E7">
            <w:pPr>
              <w:spacing w:before="120"/>
              <w:jc w:val="center"/>
              <w:rPr>
                <w:rFonts w:cs="Arial"/>
                <w:iCs/>
                <w:sz w:val="18"/>
                <w:szCs w:val="18"/>
              </w:rPr>
            </w:pPr>
            <w:r w:rsidRPr="00B97C30">
              <w:rPr>
                <w:rFonts w:cs="Arial"/>
                <w:iCs/>
                <w:sz w:val="18"/>
                <w:szCs w:val="18"/>
              </w:rPr>
              <w:t>Contact</w:t>
            </w:r>
            <w:r w:rsidR="00540044" w:rsidRPr="00B97C30">
              <w:rPr>
                <w:rFonts w:cs="Arial"/>
                <w:iCs/>
                <w:sz w:val="18"/>
                <w:szCs w:val="18"/>
              </w:rPr>
              <w:t xml:space="preserve">:  </w:t>
            </w:r>
            <w:hyperlink r:id="rId11" w:history="1">
              <w:r w:rsidR="00FA1A5E" w:rsidRPr="00B97C30">
                <w:rPr>
                  <w:rStyle w:val="Hyperlink"/>
                  <w:rFonts w:cs="Arial"/>
                  <w:sz w:val="18"/>
                  <w:szCs w:val="18"/>
                </w:rPr>
                <w:t>gabrijela.rosic@stat.gov.rs</w:t>
              </w:r>
            </w:hyperlink>
            <w:r w:rsidR="00FA1A5E" w:rsidRPr="00B97C30">
              <w:rPr>
                <w:rFonts w:cs="Arial"/>
                <w:sz w:val="18"/>
                <w:szCs w:val="18"/>
              </w:rPr>
              <w:t xml:space="preserve">, </w:t>
            </w:r>
            <w:r w:rsidR="00540044" w:rsidRPr="00B97C30">
              <w:rPr>
                <w:rFonts w:cs="Arial"/>
                <w:iCs/>
                <w:sz w:val="18"/>
                <w:szCs w:val="18"/>
              </w:rPr>
              <w:t xml:space="preserve">  </w:t>
            </w:r>
            <w:r w:rsidRPr="00B97C30">
              <w:rPr>
                <w:rFonts w:cs="Arial"/>
                <w:iCs/>
                <w:sz w:val="18"/>
                <w:szCs w:val="18"/>
              </w:rPr>
              <w:t>Phone</w:t>
            </w:r>
            <w:r w:rsidR="00540044" w:rsidRPr="00B97C30">
              <w:rPr>
                <w:rFonts w:cs="Arial"/>
                <w:iCs/>
                <w:sz w:val="18"/>
                <w:szCs w:val="18"/>
              </w:rPr>
              <w:t xml:space="preserve">: 011 2412-922  </w:t>
            </w:r>
            <w:r w:rsidRPr="00B97C30">
              <w:rPr>
                <w:rFonts w:cs="Arial"/>
                <w:iCs/>
                <w:sz w:val="18"/>
                <w:szCs w:val="18"/>
              </w:rPr>
              <w:t>ext.</w:t>
            </w:r>
            <w:r w:rsidR="00540044" w:rsidRPr="00B97C30">
              <w:rPr>
                <w:rFonts w:cs="Arial"/>
                <w:iCs/>
                <w:sz w:val="18"/>
                <w:szCs w:val="18"/>
              </w:rPr>
              <w:t xml:space="preserve"> 260</w:t>
            </w:r>
          </w:p>
          <w:p w:rsidR="00B72316" w:rsidRPr="00B97C30" w:rsidRDefault="00B72316" w:rsidP="00BD62E7">
            <w:pPr>
              <w:jc w:val="center"/>
              <w:rPr>
                <w:rFonts w:cs="Arial"/>
                <w:iCs/>
                <w:sz w:val="18"/>
                <w:szCs w:val="18"/>
              </w:rPr>
            </w:pPr>
            <w:r w:rsidRPr="00B97C30">
              <w:rPr>
                <w:rFonts w:cs="Arial"/>
                <w:iCs/>
                <w:sz w:val="18"/>
                <w:szCs w:val="18"/>
              </w:rPr>
              <w:t xml:space="preserve">Published and printed by: Statistical Office of the Republic of Serbia, </w:t>
            </w:r>
            <w:r w:rsidR="0037656B" w:rsidRPr="00B97C30">
              <w:rPr>
                <w:rFonts w:cs="Arial"/>
                <w:iCs/>
                <w:sz w:val="18"/>
                <w:szCs w:val="18"/>
              </w:rPr>
              <w:t xml:space="preserve">11 050 </w:t>
            </w:r>
            <w:r w:rsidRPr="00B97C30">
              <w:rPr>
                <w:rFonts w:cs="Arial"/>
                <w:iCs/>
                <w:sz w:val="18"/>
                <w:szCs w:val="18"/>
              </w:rPr>
              <w:t>Belgrade</w:t>
            </w:r>
            <w:r w:rsidR="00916967" w:rsidRPr="00B97C30">
              <w:rPr>
                <w:rFonts w:cs="Arial"/>
                <w:iCs/>
                <w:sz w:val="18"/>
                <w:szCs w:val="18"/>
              </w:rPr>
              <w:t>, Milana Rakica 5</w:t>
            </w:r>
          </w:p>
          <w:p w:rsidR="00B72316" w:rsidRPr="00B97C30" w:rsidRDefault="00B72316" w:rsidP="00BD62E7">
            <w:pPr>
              <w:jc w:val="center"/>
              <w:rPr>
                <w:rFonts w:cs="Arial"/>
                <w:iCs/>
                <w:sz w:val="18"/>
                <w:szCs w:val="18"/>
              </w:rPr>
            </w:pPr>
            <w:r w:rsidRPr="00B97C30">
              <w:rPr>
                <w:rFonts w:cs="Arial"/>
                <w:iCs/>
                <w:sz w:val="18"/>
                <w:szCs w:val="18"/>
              </w:rPr>
              <w:t xml:space="preserve">Phone: +381 11 2412922 </w:t>
            </w:r>
            <w:r w:rsidR="002D3C18" w:rsidRPr="00B97C30">
              <w:rPr>
                <w:rFonts w:cs="Arial"/>
                <w:sz w:val="18"/>
                <w:szCs w:val="18"/>
              </w:rPr>
              <w:t>(telephone exchange)</w:t>
            </w:r>
            <w:r w:rsidR="002D3C18" w:rsidRPr="00B97C30">
              <w:rPr>
                <w:rFonts w:ascii="Arial Narrow" w:hAnsi="Arial Narrow" w:cs="Arial"/>
              </w:rPr>
              <w:t xml:space="preserve"> </w:t>
            </w:r>
            <w:r w:rsidRPr="00B97C30">
              <w:rPr>
                <w:rFonts w:cs="Arial"/>
                <w:iCs/>
                <w:sz w:val="18"/>
                <w:szCs w:val="18"/>
              </w:rPr>
              <w:t xml:space="preserve">● Fax: +381 11 2411260 ● www.stat.gov.rs  </w:t>
            </w:r>
          </w:p>
          <w:p w:rsidR="00B72316" w:rsidRPr="00B97C30" w:rsidRDefault="00B72316" w:rsidP="00BD62E7">
            <w:pPr>
              <w:jc w:val="center"/>
              <w:rPr>
                <w:rFonts w:cs="Arial"/>
                <w:iCs/>
                <w:sz w:val="18"/>
                <w:szCs w:val="18"/>
              </w:rPr>
            </w:pPr>
            <w:r w:rsidRPr="00B97C30">
              <w:rPr>
                <w:rFonts w:cs="Arial"/>
                <w:iCs/>
                <w:sz w:val="18"/>
                <w:szCs w:val="18"/>
              </w:rPr>
              <w:t>Responsible: Dr</w:t>
            </w:r>
            <w:r w:rsidR="00E00A62" w:rsidRPr="00B97C30">
              <w:rPr>
                <w:rFonts w:cs="Arial"/>
                <w:iCs/>
                <w:sz w:val="18"/>
                <w:szCs w:val="18"/>
              </w:rPr>
              <w:t xml:space="preserve"> Miladin Kovačević</w:t>
            </w:r>
            <w:r w:rsidRPr="00B97C30">
              <w:rPr>
                <w:rFonts w:cs="Arial"/>
                <w:iCs/>
                <w:sz w:val="18"/>
                <w:szCs w:val="18"/>
              </w:rPr>
              <w:t>, Director</w:t>
            </w:r>
          </w:p>
          <w:p w:rsidR="00B72316" w:rsidRPr="00B97C30" w:rsidRDefault="00B72316" w:rsidP="00BD62E7">
            <w:pPr>
              <w:jc w:val="center"/>
              <w:rPr>
                <w:i/>
                <w:iCs/>
              </w:rPr>
            </w:pPr>
            <w:r w:rsidRPr="00B97C30">
              <w:rPr>
                <w:rFonts w:cs="Arial"/>
                <w:iCs/>
                <w:sz w:val="18"/>
                <w:szCs w:val="18"/>
              </w:rPr>
              <w:t>Circulation: 20 ● Issued monthly</w:t>
            </w:r>
          </w:p>
        </w:tc>
      </w:tr>
    </w:tbl>
    <w:p w:rsidR="00360C4E" w:rsidRPr="00B97C30" w:rsidRDefault="00360C4E" w:rsidP="00F403CE">
      <w:pPr>
        <w:ind w:firstLine="397"/>
        <w:jc w:val="both"/>
        <w:rPr>
          <w:rFonts w:cs="Arial"/>
          <w:sz w:val="6"/>
          <w:szCs w:val="6"/>
        </w:rPr>
      </w:pPr>
    </w:p>
    <w:sectPr w:rsidR="00360C4E" w:rsidRPr="00B97C30" w:rsidSect="00A7556A">
      <w:footerReference w:type="even" r:id="rId12"/>
      <w:footerReference w:type="default" r:id="rId13"/>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E9" w:rsidRDefault="00085CE9">
      <w:r>
        <w:separator/>
      </w:r>
    </w:p>
  </w:endnote>
  <w:endnote w:type="continuationSeparator" w:id="0">
    <w:p w:rsidR="00085CE9" w:rsidRDefault="0008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125"/>
      <w:gridCol w:w="5136"/>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D77C79">
            <w:rPr>
              <w:i/>
              <w:iCs/>
              <w:noProof/>
              <w:sz w:val="16"/>
              <w:szCs w:val="16"/>
            </w:rPr>
            <w:t>2</w:t>
          </w:r>
          <w:r w:rsidRPr="00E96C3B">
            <w:rPr>
              <w:i/>
              <w:iCs/>
              <w:sz w:val="16"/>
              <w:szCs w:val="16"/>
            </w:rPr>
            <w:fldChar w:fldCharType="end"/>
          </w:r>
        </w:p>
      </w:tc>
      <w:tc>
        <w:tcPr>
          <w:tcW w:w="5211" w:type="dxa"/>
          <w:shd w:val="clear" w:color="auto" w:fill="auto"/>
        </w:tcPr>
        <w:p w:rsidR="00B72316" w:rsidRPr="00506D43" w:rsidRDefault="00B72316" w:rsidP="006631FB">
          <w:pPr>
            <w:spacing w:before="120"/>
            <w:jc w:val="right"/>
            <w:rPr>
              <w:bCs/>
              <w:sz w:val="16"/>
              <w:szCs w:val="16"/>
              <w:lang w:val="en-US"/>
            </w:rPr>
          </w:pPr>
          <w:r w:rsidRPr="00E96C3B">
            <w:rPr>
              <w:bCs/>
              <w:sz w:val="16"/>
              <w:szCs w:val="16"/>
            </w:rPr>
            <w:t>SERB</w:t>
          </w:r>
          <w:r w:rsidR="006631FB">
            <w:rPr>
              <w:bCs/>
              <w:sz w:val="16"/>
              <w:szCs w:val="16"/>
            </w:rPr>
            <w:t>199</w:t>
          </w:r>
          <w:r w:rsidRPr="00E96C3B">
            <w:rPr>
              <w:bCs/>
              <w:sz w:val="16"/>
              <w:szCs w:val="16"/>
            </w:rPr>
            <w:t xml:space="preserve"> GR30 </w:t>
          </w:r>
          <w:r w:rsidR="006631FB">
            <w:rPr>
              <w:bCs/>
              <w:sz w:val="16"/>
              <w:szCs w:val="16"/>
            </w:rPr>
            <w:t>160718</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14467A">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E9" w:rsidRDefault="00085CE9">
      <w:r>
        <w:separator/>
      </w:r>
    </w:p>
  </w:footnote>
  <w:footnote w:type="continuationSeparator" w:id="0">
    <w:p w:rsidR="00085CE9" w:rsidRDefault="00085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548"/>
    <w:rsid w:val="00002FDA"/>
    <w:rsid w:val="000049E7"/>
    <w:rsid w:val="000079B9"/>
    <w:rsid w:val="0001118C"/>
    <w:rsid w:val="000123F1"/>
    <w:rsid w:val="000160DA"/>
    <w:rsid w:val="00017432"/>
    <w:rsid w:val="00017A5D"/>
    <w:rsid w:val="00021C9B"/>
    <w:rsid w:val="000226D1"/>
    <w:rsid w:val="00031EA1"/>
    <w:rsid w:val="000329D9"/>
    <w:rsid w:val="000339F1"/>
    <w:rsid w:val="0003589F"/>
    <w:rsid w:val="00035BCD"/>
    <w:rsid w:val="00040114"/>
    <w:rsid w:val="00045840"/>
    <w:rsid w:val="00054DD7"/>
    <w:rsid w:val="00055882"/>
    <w:rsid w:val="00072127"/>
    <w:rsid w:val="00072258"/>
    <w:rsid w:val="000764F4"/>
    <w:rsid w:val="0007723C"/>
    <w:rsid w:val="000801BD"/>
    <w:rsid w:val="00084869"/>
    <w:rsid w:val="00085CE9"/>
    <w:rsid w:val="000869A3"/>
    <w:rsid w:val="000879B5"/>
    <w:rsid w:val="00092B38"/>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E4F14"/>
    <w:rsid w:val="000F213F"/>
    <w:rsid w:val="000F22A6"/>
    <w:rsid w:val="000F31AE"/>
    <w:rsid w:val="000F5799"/>
    <w:rsid w:val="000F6533"/>
    <w:rsid w:val="001001EB"/>
    <w:rsid w:val="001034CA"/>
    <w:rsid w:val="00104394"/>
    <w:rsid w:val="00104826"/>
    <w:rsid w:val="001057A8"/>
    <w:rsid w:val="00106925"/>
    <w:rsid w:val="00110976"/>
    <w:rsid w:val="00113741"/>
    <w:rsid w:val="00115A64"/>
    <w:rsid w:val="00115C26"/>
    <w:rsid w:val="00120A83"/>
    <w:rsid w:val="00120DC5"/>
    <w:rsid w:val="00120F63"/>
    <w:rsid w:val="00122615"/>
    <w:rsid w:val="00122C5D"/>
    <w:rsid w:val="001236AD"/>
    <w:rsid w:val="001245F5"/>
    <w:rsid w:val="0012498D"/>
    <w:rsid w:val="00124C17"/>
    <w:rsid w:val="00132717"/>
    <w:rsid w:val="0013347A"/>
    <w:rsid w:val="00133E91"/>
    <w:rsid w:val="0014018B"/>
    <w:rsid w:val="001407FA"/>
    <w:rsid w:val="0014306F"/>
    <w:rsid w:val="0014467A"/>
    <w:rsid w:val="001446CF"/>
    <w:rsid w:val="00145ECD"/>
    <w:rsid w:val="00151162"/>
    <w:rsid w:val="00151832"/>
    <w:rsid w:val="00151908"/>
    <w:rsid w:val="00154FEE"/>
    <w:rsid w:val="001552AC"/>
    <w:rsid w:val="00157325"/>
    <w:rsid w:val="001578D2"/>
    <w:rsid w:val="001605F1"/>
    <w:rsid w:val="00160F40"/>
    <w:rsid w:val="00161C21"/>
    <w:rsid w:val="00161EA8"/>
    <w:rsid w:val="00165B24"/>
    <w:rsid w:val="00171067"/>
    <w:rsid w:val="001745C0"/>
    <w:rsid w:val="0017466B"/>
    <w:rsid w:val="00174E1D"/>
    <w:rsid w:val="00177938"/>
    <w:rsid w:val="00181C23"/>
    <w:rsid w:val="001822B3"/>
    <w:rsid w:val="00183036"/>
    <w:rsid w:val="00184198"/>
    <w:rsid w:val="00184DAD"/>
    <w:rsid w:val="001859F7"/>
    <w:rsid w:val="001942AE"/>
    <w:rsid w:val="001A1261"/>
    <w:rsid w:val="001A33EB"/>
    <w:rsid w:val="001A4300"/>
    <w:rsid w:val="001B2201"/>
    <w:rsid w:val="001B4088"/>
    <w:rsid w:val="001B4321"/>
    <w:rsid w:val="001C1DB1"/>
    <w:rsid w:val="001C2479"/>
    <w:rsid w:val="001D0676"/>
    <w:rsid w:val="001D2F4F"/>
    <w:rsid w:val="001D3C70"/>
    <w:rsid w:val="001D4C97"/>
    <w:rsid w:val="001D63BE"/>
    <w:rsid w:val="001D7990"/>
    <w:rsid w:val="001E09A2"/>
    <w:rsid w:val="001E33B7"/>
    <w:rsid w:val="001E705F"/>
    <w:rsid w:val="001E7411"/>
    <w:rsid w:val="001F0AE6"/>
    <w:rsid w:val="001F7DA1"/>
    <w:rsid w:val="00206A1A"/>
    <w:rsid w:val="002117C6"/>
    <w:rsid w:val="002226A6"/>
    <w:rsid w:val="0022295C"/>
    <w:rsid w:val="00224BFE"/>
    <w:rsid w:val="00225696"/>
    <w:rsid w:val="00226CCA"/>
    <w:rsid w:val="00226FE1"/>
    <w:rsid w:val="002321D6"/>
    <w:rsid w:val="002338F2"/>
    <w:rsid w:val="00237EEF"/>
    <w:rsid w:val="00244154"/>
    <w:rsid w:val="0024417D"/>
    <w:rsid w:val="00245B05"/>
    <w:rsid w:val="00246D1B"/>
    <w:rsid w:val="00250618"/>
    <w:rsid w:val="002530A5"/>
    <w:rsid w:val="00254FED"/>
    <w:rsid w:val="002577D1"/>
    <w:rsid w:val="00260C42"/>
    <w:rsid w:val="00260FDC"/>
    <w:rsid w:val="002613B1"/>
    <w:rsid w:val="0026339C"/>
    <w:rsid w:val="002665B9"/>
    <w:rsid w:val="00266953"/>
    <w:rsid w:val="00266EC8"/>
    <w:rsid w:val="00267908"/>
    <w:rsid w:val="0027105D"/>
    <w:rsid w:val="00273E2D"/>
    <w:rsid w:val="00274A2D"/>
    <w:rsid w:val="00280439"/>
    <w:rsid w:val="00281FBB"/>
    <w:rsid w:val="00285C3C"/>
    <w:rsid w:val="00292B08"/>
    <w:rsid w:val="002932D1"/>
    <w:rsid w:val="00293FE5"/>
    <w:rsid w:val="002963EE"/>
    <w:rsid w:val="002A291A"/>
    <w:rsid w:val="002A48BD"/>
    <w:rsid w:val="002A4E31"/>
    <w:rsid w:val="002A6568"/>
    <w:rsid w:val="002A7057"/>
    <w:rsid w:val="002B341E"/>
    <w:rsid w:val="002B3AF3"/>
    <w:rsid w:val="002B5063"/>
    <w:rsid w:val="002B5D8D"/>
    <w:rsid w:val="002B69CA"/>
    <w:rsid w:val="002B7667"/>
    <w:rsid w:val="002B7B56"/>
    <w:rsid w:val="002B7ECD"/>
    <w:rsid w:val="002C0158"/>
    <w:rsid w:val="002C256B"/>
    <w:rsid w:val="002C56C8"/>
    <w:rsid w:val="002D21FC"/>
    <w:rsid w:val="002D3C18"/>
    <w:rsid w:val="002E11E1"/>
    <w:rsid w:val="002E3EB4"/>
    <w:rsid w:val="002F08B6"/>
    <w:rsid w:val="002F5580"/>
    <w:rsid w:val="003116F9"/>
    <w:rsid w:val="00312823"/>
    <w:rsid w:val="00312C64"/>
    <w:rsid w:val="0031421F"/>
    <w:rsid w:val="00315CDE"/>
    <w:rsid w:val="00322DC9"/>
    <w:rsid w:val="00325E97"/>
    <w:rsid w:val="00326D78"/>
    <w:rsid w:val="00327A4E"/>
    <w:rsid w:val="00332095"/>
    <w:rsid w:val="00335EEF"/>
    <w:rsid w:val="00335F06"/>
    <w:rsid w:val="00336901"/>
    <w:rsid w:val="00342AED"/>
    <w:rsid w:val="003471EE"/>
    <w:rsid w:val="003472A6"/>
    <w:rsid w:val="00350CE0"/>
    <w:rsid w:val="00350F71"/>
    <w:rsid w:val="003543D6"/>
    <w:rsid w:val="003557FA"/>
    <w:rsid w:val="00360C4E"/>
    <w:rsid w:val="00362A0D"/>
    <w:rsid w:val="003632CB"/>
    <w:rsid w:val="003725DE"/>
    <w:rsid w:val="00372C9B"/>
    <w:rsid w:val="003746F7"/>
    <w:rsid w:val="003763E0"/>
    <w:rsid w:val="0037656B"/>
    <w:rsid w:val="00376FAA"/>
    <w:rsid w:val="003774B4"/>
    <w:rsid w:val="00377D37"/>
    <w:rsid w:val="00381063"/>
    <w:rsid w:val="0038350C"/>
    <w:rsid w:val="003836E0"/>
    <w:rsid w:val="0038577E"/>
    <w:rsid w:val="00392A21"/>
    <w:rsid w:val="0039511C"/>
    <w:rsid w:val="00395912"/>
    <w:rsid w:val="003A2F46"/>
    <w:rsid w:val="003A41CC"/>
    <w:rsid w:val="003A5678"/>
    <w:rsid w:val="003A760B"/>
    <w:rsid w:val="003B3624"/>
    <w:rsid w:val="003B4B80"/>
    <w:rsid w:val="003B57D9"/>
    <w:rsid w:val="003B6570"/>
    <w:rsid w:val="003C4653"/>
    <w:rsid w:val="003C556E"/>
    <w:rsid w:val="003C6E41"/>
    <w:rsid w:val="003D00CA"/>
    <w:rsid w:val="003D3FD3"/>
    <w:rsid w:val="003D733E"/>
    <w:rsid w:val="003E06F2"/>
    <w:rsid w:val="003E0A81"/>
    <w:rsid w:val="003E224C"/>
    <w:rsid w:val="003E3C34"/>
    <w:rsid w:val="003E504F"/>
    <w:rsid w:val="0040224F"/>
    <w:rsid w:val="0040329D"/>
    <w:rsid w:val="004035CE"/>
    <w:rsid w:val="00404B72"/>
    <w:rsid w:val="00407B7F"/>
    <w:rsid w:val="0041571E"/>
    <w:rsid w:val="0041739D"/>
    <w:rsid w:val="004203BE"/>
    <w:rsid w:val="00423804"/>
    <w:rsid w:val="0042567C"/>
    <w:rsid w:val="00432F75"/>
    <w:rsid w:val="004434C9"/>
    <w:rsid w:val="0045084E"/>
    <w:rsid w:val="00450E58"/>
    <w:rsid w:val="00452E8C"/>
    <w:rsid w:val="00452F36"/>
    <w:rsid w:val="00460424"/>
    <w:rsid w:val="004712F0"/>
    <w:rsid w:val="00471D4A"/>
    <w:rsid w:val="00475F7B"/>
    <w:rsid w:val="00480E1B"/>
    <w:rsid w:val="004846E0"/>
    <w:rsid w:val="00486030"/>
    <w:rsid w:val="004865A2"/>
    <w:rsid w:val="00487350"/>
    <w:rsid w:val="00493D64"/>
    <w:rsid w:val="0049464D"/>
    <w:rsid w:val="004946DA"/>
    <w:rsid w:val="004958A5"/>
    <w:rsid w:val="00496213"/>
    <w:rsid w:val="00496649"/>
    <w:rsid w:val="004A0D64"/>
    <w:rsid w:val="004A21A2"/>
    <w:rsid w:val="004A54AA"/>
    <w:rsid w:val="004A5856"/>
    <w:rsid w:val="004B264C"/>
    <w:rsid w:val="004B48FB"/>
    <w:rsid w:val="004B5D31"/>
    <w:rsid w:val="004B6F23"/>
    <w:rsid w:val="004C0C2A"/>
    <w:rsid w:val="004C1EDF"/>
    <w:rsid w:val="004C20F1"/>
    <w:rsid w:val="004C3D49"/>
    <w:rsid w:val="004D0EB3"/>
    <w:rsid w:val="004D6CB3"/>
    <w:rsid w:val="004D7BCB"/>
    <w:rsid w:val="004E2195"/>
    <w:rsid w:val="004E266D"/>
    <w:rsid w:val="004E50E5"/>
    <w:rsid w:val="004E57DD"/>
    <w:rsid w:val="004E5ADD"/>
    <w:rsid w:val="004E5C37"/>
    <w:rsid w:val="004F138E"/>
    <w:rsid w:val="004F401E"/>
    <w:rsid w:val="004F4485"/>
    <w:rsid w:val="004F4876"/>
    <w:rsid w:val="004F4A78"/>
    <w:rsid w:val="004F5E04"/>
    <w:rsid w:val="00502D5D"/>
    <w:rsid w:val="005030A4"/>
    <w:rsid w:val="005030EF"/>
    <w:rsid w:val="005062DF"/>
    <w:rsid w:val="00506688"/>
    <w:rsid w:val="00506D43"/>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2B9C"/>
    <w:rsid w:val="0054426C"/>
    <w:rsid w:val="005452E1"/>
    <w:rsid w:val="0054614B"/>
    <w:rsid w:val="00551B3C"/>
    <w:rsid w:val="00555B3F"/>
    <w:rsid w:val="0055697F"/>
    <w:rsid w:val="005605E2"/>
    <w:rsid w:val="005608DA"/>
    <w:rsid w:val="0056672F"/>
    <w:rsid w:val="00567085"/>
    <w:rsid w:val="00567595"/>
    <w:rsid w:val="00574113"/>
    <w:rsid w:val="00585061"/>
    <w:rsid w:val="0058559E"/>
    <w:rsid w:val="00586A01"/>
    <w:rsid w:val="00591F3B"/>
    <w:rsid w:val="00594AF8"/>
    <w:rsid w:val="00596A18"/>
    <w:rsid w:val="005A16B3"/>
    <w:rsid w:val="005A2292"/>
    <w:rsid w:val="005B3034"/>
    <w:rsid w:val="005C0D3D"/>
    <w:rsid w:val="005C10E4"/>
    <w:rsid w:val="005C4034"/>
    <w:rsid w:val="005C4F9F"/>
    <w:rsid w:val="005C52BE"/>
    <w:rsid w:val="005C7CC6"/>
    <w:rsid w:val="005D08A9"/>
    <w:rsid w:val="005D1665"/>
    <w:rsid w:val="005D1AD7"/>
    <w:rsid w:val="005D2F9A"/>
    <w:rsid w:val="005E2884"/>
    <w:rsid w:val="005E4BD7"/>
    <w:rsid w:val="005E64B7"/>
    <w:rsid w:val="005E67B0"/>
    <w:rsid w:val="005F0818"/>
    <w:rsid w:val="005F1DC0"/>
    <w:rsid w:val="005F408E"/>
    <w:rsid w:val="005F49CE"/>
    <w:rsid w:val="006203B6"/>
    <w:rsid w:val="0062608A"/>
    <w:rsid w:val="00626DB8"/>
    <w:rsid w:val="00627E99"/>
    <w:rsid w:val="0063036F"/>
    <w:rsid w:val="00635B1D"/>
    <w:rsid w:val="006427F2"/>
    <w:rsid w:val="006439A9"/>
    <w:rsid w:val="00643B0E"/>
    <w:rsid w:val="00643CDF"/>
    <w:rsid w:val="006449D8"/>
    <w:rsid w:val="0064612C"/>
    <w:rsid w:val="00650BCF"/>
    <w:rsid w:val="00652172"/>
    <w:rsid w:val="00653B17"/>
    <w:rsid w:val="0066021F"/>
    <w:rsid w:val="0066252F"/>
    <w:rsid w:val="006631FB"/>
    <w:rsid w:val="00664AE4"/>
    <w:rsid w:val="006659A4"/>
    <w:rsid w:val="0067119B"/>
    <w:rsid w:val="00671FE1"/>
    <w:rsid w:val="00672754"/>
    <w:rsid w:val="00674257"/>
    <w:rsid w:val="00675333"/>
    <w:rsid w:val="00677A51"/>
    <w:rsid w:val="00683064"/>
    <w:rsid w:val="00690209"/>
    <w:rsid w:val="00692AAF"/>
    <w:rsid w:val="00694A7E"/>
    <w:rsid w:val="0069503E"/>
    <w:rsid w:val="006971D4"/>
    <w:rsid w:val="006A3014"/>
    <w:rsid w:val="006A48DC"/>
    <w:rsid w:val="006A54B8"/>
    <w:rsid w:val="006A75B6"/>
    <w:rsid w:val="006A7E8E"/>
    <w:rsid w:val="006B488C"/>
    <w:rsid w:val="006B5373"/>
    <w:rsid w:val="006B57A9"/>
    <w:rsid w:val="006B6160"/>
    <w:rsid w:val="006B7517"/>
    <w:rsid w:val="006B7618"/>
    <w:rsid w:val="006C078D"/>
    <w:rsid w:val="006C52AF"/>
    <w:rsid w:val="006D211A"/>
    <w:rsid w:val="006D767B"/>
    <w:rsid w:val="006E5442"/>
    <w:rsid w:val="006E5E99"/>
    <w:rsid w:val="006E7AF4"/>
    <w:rsid w:val="006F0020"/>
    <w:rsid w:val="006F15AA"/>
    <w:rsid w:val="006F35D2"/>
    <w:rsid w:val="006F54AD"/>
    <w:rsid w:val="00702088"/>
    <w:rsid w:val="007021CC"/>
    <w:rsid w:val="00702804"/>
    <w:rsid w:val="007040EC"/>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5026C"/>
    <w:rsid w:val="00752E27"/>
    <w:rsid w:val="00756715"/>
    <w:rsid w:val="00761AB1"/>
    <w:rsid w:val="00762BC9"/>
    <w:rsid w:val="00763ECD"/>
    <w:rsid w:val="00764097"/>
    <w:rsid w:val="00780889"/>
    <w:rsid w:val="00782319"/>
    <w:rsid w:val="0078342C"/>
    <w:rsid w:val="007849B9"/>
    <w:rsid w:val="0078684E"/>
    <w:rsid w:val="00792199"/>
    <w:rsid w:val="00792A29"/>
    <w:rsid w:val="007A06F7"/>
    <w:rsid w:val="007A32F1"/>
    <w:rsid w:val="007A34DF"/>
    <w:rsid w:val="007A551E"/>
    <w:rsid w:val="007A701E"/>
    <w:rsid w:val="007A7B5D"/>
    <w:rsid w:val="007B097D"/>
    <w:rsid w:val="007B0F2E"/>
    <w:rsid w:val="007B105D"/>
    <w:rsid w:val="007B4026"/>
    <w:rsid w:val="007B4B3B"/>
    <w:rsid w:val="007C606F"/>
    <w:rsid w:val="007D0E60"/>
    <w:rsid w:val="007D4AF9"/>
    <w:rsid w:val="007D720E"/>
    <w:rsid w:val="007E2BD1"/>
    <w:rsid w:val="007E3FD2"/>
    <w:rsid w:val="007E4131"/>
    <w:rsid w:val="007E6E68"/>
    <w:rsid w:val="007F1EB5"/>
    <w:rsid w:val="007F2A4C"/>
    <w:rsid w:val="007F617E"/>
    <w:rsid w:val="007F63EA"/>
    <w:rsid w:val="008015DA"/>
    <w:rsid w:val="00804ADC"/>
    <w:rsid w:val="00806A99"/>
    <w:rsid w:val="008105C9"/>
    <w:rsid w:val="008109B7"/>
    <w:rsid w:val="00811B7B"/>
    <w:rsid w:val="00811DC2"/>
    <w:rsid w:val="00815694"/>
    <w:rsid w:val="00816CDB"/>
    <w:rsid w:val="008174D7"/>
    <w:rsid w:val="008262C3"/>
    <w:rsid w:val="00827757"/>
    <w:rsid w:val="0083447C"/>
    <w:rsid w:val="008365D1"/>
    <w:rsid w:val="00836714"/>
    <w:rsid w:val="00837DD8"/>
    <w:rsid w:val="008406AE"/>
    <w:rsid w:val="00843AB2"/>
    <w:rsid w:val="00846F70"/>
    <w:rsid w:val="00854EE8"/>
    <w:rsid w:val="0086116D"/>
    <w:rsid w:val="00865950"/>
    <w:rsid w:val="00871F24"/>
    <w:rsid w:val="00872216"/>
    <w:rsid w:val="008765D4"/>
    <w:rsid w:val="00880C95"/>
    <w:rsid w:val="00881815"/>
    <w:rsid w:val="00882EEB"/>
    <w:rsid w:val="008837D6"/>
    <w:rsid w:val="008908CA"/>
    <w:rsid w:val="008A1A60"/>
    <w:rsid w:val="008A4ABC"/>
    <w:rsid w:val="008B00C3"/>
    <w:rsid w:val="008C3B72"/>
    <w:rsid w:val="008C4427"/>
    <w:rsid w:val="008C44B8"/>
    <w:rsid w:val="008D0BE0"/>
    <w:rsid w:val="008D0EFE"/>
    <w:rsid w:val="008D4F38"/>
    <w:rsid w:val="008E43D5"/>
    <w:rsid w:val="008E7762"/>
    <w:rsid w:val="008F0DF9"/>
    <w:rsid w:val="008F1736"/>
    <w:rsid w:val="008F5EE8"/>
    <w:rsid w:val="008F6969"/>
    <w:rsid w:val="008F787F"/>
    <w:rsid w:val="0090011D"/>
    <w:rsid w:val="009002DC"/>
    <w:rsid w:val="00904BEC"/>
    <w:rsid w:val="009059F7"/>
    <w:rsid w:val="00905DAA"/>
    <w:rsid w:val="00913491"/>
    <w:rsid w:val="00915C06"/>
    <w:rsid w:val="00916967"/>
    <w:rsid w:val="0091743D"/>
    <w:rsid w:val="00923002"/>
    <w:rsid w:val="0092354B"/>
    <w:rsid w:val="00925A21"/>
    <w:rsid w:val="00926AD8"/>
    <w:rsid w:val="00930240"/>
    <w:rsid w:val="00930411"/>
    <w:rsid w:val="009319C8"/>
    <w:rsid w:val="009324E6"/>
    <w:rsid w:val="00934224"/>
    <w:rsid w:val="00935F76"/>
    <w:rsid w:val="00937374"/>
    <w:rsid w:val="00940DEA"/>
    <w:rsid w:val="00945F88"/>
    <w:rsid w:val="00947A6D"/>
    <w:rsid w:val="00951F88"/>
    <w:rsid w:val="00953B72"/>
    <w:rsid w:val="009559DA"/>
    <w:rsid w:val="00956994"/>
    <w:rsid w:val="0096182F"/>
    <w:rsid w:val="00963F5C"/>
    <w:rsid w:val="009658E1"/>
    <w:rsid w:val="00970401"/>
    <w:rsid w:val="009710E8"/>
    <w:rsid w:val="009744B0"/>
    <w:rsid w:val="009825C5"/>
    <w:rsid w:val="00983A7E"/>
    <w:rsid w:val="00984FD2"/>
    <w:rsid w:val="00990163"/>
    <w:rsid w:val="009916E7"/>
    <w:rsid w:val="00991E08"/>
    <w:rsid w:val="009953CC"/>
    <w:rsid w:val="009973C4"/>
    <w:rsid w:val="009973DF"/>
    <w:rsid w:val="009A29E0"/>
    <w:rsid w:val="009A2E9F"/>
    <w:rsid w:val="009A497A"/>
    <w:rsid w:val="009A5FB1"/>
    <w:rsid w:val="009A7DEA"/>
    <w:rsid w:val="009B4D6B"/>
    <w:rsid w:val="009C1B33"/>
    <w:rsid w:val="009C37E1"/>
    <w:rsid w:val="009C5108"/>
    <w:rsid w:val="009C6788"/>
    <w:rsid w:val="009D10FE"/>
    <w:rsid w:val="009D28E8"/>
    <w:rsid w:val="009D38B0"/>
    <w:rsid w:val="009D52D6"/>
    <w:rsid w:val="009D745E"/>
    <w:rsid w:val="009E040E"/>
    <w:rsid w:val="009E34B8"/>
    <w:rsid w:val="009E4814"/>
    <w:rsid w:val="009E4CF4"/>
    <w:rsid w:val="009E6375"/>
    <w:rsid w:val="009F094E"/>
    <w:rsid w:val="009F13D8"/>
    <w:rsid w:val="009F28F9"/>
    <w:rsid w:val="009F4042"/>
    <w:rsid w:val="00A00EF2"/>
    <w:rsid w:val="00A02B9E"/>
    <w:rsid w:val="00A03650"/>
    <w:rsid w:val="00A0509B"/>
    <w:rsid w:val="00A1029D"/>
    <w:rsid w:val="00A127CB"/>
    <w:rsid w:val="00A132C3"/>
    <w:rsid w:val="00A15972"/>
    <w:rsid w:val="00A15CCB"/>
    <w:rsid w:val="00A20D67"/>
    <w:rsid w:val="00A23E02"/>
    <w:rsid w:val="00A255B9"/>
    <w:rsid w:val="00A25E1C"/>
    <w:rsid w:val="00A34E08"/>
    <w:rsid w:val="00A350F8"/>
    <w:rsid w:val="00A41EAE"/>
    <w:rsid w:val="00A44F0C"/>
    <w:rsid w:val="00A57935"/>
    <w:rsid w:val="00A62243"/>
    <w:rsid w:val="00A62452"/>
    <w:rsid w:val="00A64182"/>
    <w:rsid w:val="00A6593F"/>
    <w:rsid w:val="00A701BA"/>
    <w:rsid w:val="00A72A46"/>
    <w:rsid w:val="00A73DA8"/>
    <w:rsid w:val="00A754C8"/>
    <w:rsid w:val="00A7556A"/>
    <w:rsid w:val="00A7726D"/>
    <w:rsid w:val="00A80FF0"/>
    <w:rsid w:val="00A8172E"/>
    <w:rsid w:val="00A84A1E"/>
    <w:rsid w:val="00A84F98"/>
    <w:rsid w:val="00A939E7"/>
    <w:rsid w:val="00AA0A6B"/>
    <w:rsid w:val="00AA2F4D"/>
    <w:rsid w:val="00AA3C2D"/>
    <w:rsid w:val="00AA51DC"/>
    <w:rsid w:val="00AB180A"/>
    <w:rsid w:val="00AB2384"/>
    <w:rsid w:val="00AB3C9C"/>
    <w:rsid w:val="00AC43D9"/>
    <w:rsid w:val="00AC71C2"/>
    <w:rsid w:val="00AD3A9E"/>
    <w:rsid w:val="00AD4995"/>
    <w:rsid w:val="00AE01C6"/>
    <w:rsid w:val="00AE50C1"/>
    <w:rsid w:val="00AF1B9D"/>
    <w:rsid w:val="00AF7957"/>
    <w:rsid w:val="00AF7978"/>
    <w:rsid w:val="00B035E5"/>
    <w:rsid w:val="00B04F79"/>
    <w:rsid w:val="00B07A43"/>
    <w:rsid w:val="00B124E7"/>
    <w:rsid w:val="00B13B7D"/>
    <w:rsid w:val="00B13EEF"/>
    <w:rsid w:val="00B2107D"/>
    <w:rsid w:val="00B24774"/>
    <w:rsid w:val="00B24B83"/>
    <w:rsid w:val="00B25968"/>
    <w:rsid w:val="00B26172"/>
    <w:rsid w:val="00B312C4"/>
    <w:rsid w:val="00B33F6C"/>
    <w:rsid w:val="00B35E09"/>
    <w:rsid w:val="00B46AC2"/>
    <w:rsid w:val="00B501CA"/>
    <w:rsid w:val="00B5536F"/>
    <w:rsid w:val="00B64AD9"/>
    <w:rsid w:val="00B65B47"/>
    <w:rsid w:val="00B664FA"/>
    <w:rsid w:val="00B66B96"/>
    <w:rsid w:val="00B70E8C"/>
    <w:rsid w:val="00B71B9C"/>
    <w:rsid w:val="00B71E29"/>
    <w:rsid w:val="00B72316"/>
    <w:rsid w:val="00B74CA1"/>
    <w:rsid w:val="00B75D21"/>
    <w:rsid w:val="00B76E7A"/>
    <w:rsid w:val="00B8012D"/>
    <w:rsid w:val="00B816E6"/>
    <w:rsid w:val="00B858D7"/>
    <w:rsid w:val="00B86B93"/>
    <w:rsid w:val="00B8740C"/>
    <w:rsid w:val="00B9103B"/>
    <w:rsid w:val="00B94695"/>
    <w:rsid w:val="00B948AC"/>
    <w:rsid w:val="00B967F5"/>
    <w:rsid w:val="00B97081"/>
    <w:rsid w:val="00B97C30"/>
    <w:rsid w:val="00BA04CF"/>
    <w:rsid w:val="00BA2A4A"/>
    <w:rsid w:val="00BB5A9C"/>
    <w:rsid w:val="00BB7C67"/>
    <w:rsid w:val="00BB7D74"/>
    <w:rsid w:val="00BC2514"/>
    <w:rsid w:val="00BC42E1"/>
    <w:rsid w:val="00BC5F23"/>
    <w:rsid w:val="00BD1707"/>
    <w:rsid w:val="00BD2EF6"/>
    <w:rsid w:val="00BD4C60"/>
    <w:rsid w:val="00BD5244"/>
    <w:rsid w:val="00BD5479"/>
    <w:rsid w:val="00BD62E7"/>
    <w:rsid w:val="00BD6A0E"/>
    <w:rsid w:val="00BD6BD1"/>
    <w:rsid w:val="00BD751D"/>
    <w:rsid w:val="00BE02C4"/>
    <w:rsid w:val="00BE0489"/>
    <w:rsid w:val="00BE4022"/>
    <w:rsid w:val="00BE6DAF"/>
    <w:rsid w:val="00BF0102"/>
    <w:rsid w:val="00BF195B"/>
    <w:rsid w:val="00BF4DBD"/>
    <w:rsid w:val="00BF5108"/>
    <w:rsid w:val="00BF532C"/>
    <w:rsid w:val="00BF610B"/>
    <w:rsid w:val="00BF61EA"/>
    <w:rsid w:val="00C03192"/>
    <w:rsid w:val="00C06957"/>
    <w:rsid w:val="00C11763"/>
    <w:rsid w:val="00C118C0"/>
    <w:rsid w:val="00C12B90"/>
    <w:rsid w:val="00C13D19"/>
    <w:rsid w:val="00C13FF6"/>
    <w:rsid w:val="00C149A4"/>
    <w:rsid w:val="00C21F6B"/>
    <w:rsid w:val="00C24F80"/>
    <w:rsid w:val="00C2606A"/>
    <w:rsid w:val="00C26742"/>
    <w:rsid w:val="00C30341"/>
    <w:rsid w:val="00C37F67"/>
    <w:rsid w:val="00C4379E"/>
    <w:rsid w:val="00C50295"/>
    <w:rsid w:val="00C51298"/>
    <w:rsid w:val="00C5193A"/>
    <w:rsid w:val="00C51C0F"/>
    <w:rsid w:val="00C56504"/>
    <w:rsid w:val="00C56D0B"/>
    <w:rsid w:val="00C61CB1"/>
    <w:rsid w:val="00C6273D"/>
    <w:rsid w:val="00C7120C"/>
    <w:rsid w:val="00C71B88"/>
    <w:rsid w:val="00C72A7F"/>
    <w:rsid w:val="00C72BD6"/>
    <w:rsid w:val="00C739FF"/>
    <w:rsid w:val="00C747DF"/>
    <w:rsid w:val="00C75CD7"/>
    <w:rsid w:val="00C75E0C"/>
    <w:rsid w:val="00C8788A"/>
    <w:rsid w:val="00C924EB"/>
    <w:rsid w:val="00C9290E"/>
    <w:rsid w:val="00C944FA"/>
    <w:rsid w:val="00C94811"/>
    <w:rsid w:val="00C94903"/>
    <w:rsid w:val="00CA16B2"/>
    <w:rsid w:val="00CA43B6"/>
    <w:rsid w:val="00CA63CA"/>
    <w:rsid w:val="00CA7D68"/>
    <w:rsid w:val="00CA7E89"/>
    <w:rsid w:val="00CB107A"/>
    <w:rsid w:val="00CB5A06"/>
    <w:rsid w:val="00CB5C66"/>
    <w:rsid w:val="00CC20BD"/>
    <w:rsid w:val="00CC20F3"/>
    <w:rsid w:val="00CC2730"/>
    <w:rsid w:val="00CC2991"/>
    <w:rsid w:val="00CD1281"/>
    <w:rsid w:val="00CD140C"/>
    <w:rsid w:val="00CD40C9"/>
    <w:rsid w:val="00CD4AF8"/>
    <w:rsid w:val="00CD6DB8"/>
    <w:rsid w:val="00CE10F8"/>
    <w:rsid w:val="00CE1B20"/>
    <w:rsid w:val="00CE1ED8"/>
    <w:rsid w:val="00CE2062"/>
    <w:rsid w:val="00CE36B1"/>
    <w:rsid w:val="00CE4C0B"/>
    <w:rsid w:val="00CE554C"/>
    <w:rsid w:val="00CF0EB8"/>
    <w:rsid w:val="00CF20F9"/>
    <w:rsid w:val="00CF4D53"/>
    <w:rsid w:val="00CF5AC6"/>
    <w:rsid w:val="00CF74C4"/>
    <w:rsid w:val="00D0161D"/>
    <w:rsid w:val="00D02A56"/>
    <w:rsid w:val="00D0407B"/>
    <w:rsid w:val="00D075D6"/>
    <w:rsid w:val="00D1003C"/>
    <w:rsid w:val="00D129F1"/>
    <w:rsid w:val="00D13DF0"/>
    <w:rsid w:val="00D14AA5"/>
    <w:rsid w:val="00D16321"/>
    <w:rsid w:val="00D17439"/>
    <w:rsid w:val="00D21D19"/>
    <w:rsid w:val="00D258ED"/>
    <w:rsid w:val="00D3017F"/>
    <w:rsid w:val="00D34D8A"/>
    <w:rsid w:val="00D41E97"/>
    <w:rsid w:val="00D44043"/>
    <w:rsid w:val="00D5091E"/>
    <w:rsid w:val="00D50BEF"/>
    <w:rsid w:val="00D52697"/>
    <w:rsid w:val="00D5492F"/>
    <w:rsid w:val="00D54BD8"/>
    <w:rsid w:val="00D5713A"/>
    <w:rsid w:val="00D57BD1"/>
    <w:rsid w:val="00D60D30"/>
    <w:rsid w:val="00D619CD"/>
    <w:rsid w:val="00D62511"/>
    <w:rsid w:val="00D62E5F"/>
    <w:rsid w:val="00D66118"/>
    <w:rsid w:val="00D66EB9"/>
    <w:rsid w:val="00D71245"/>
    <w:rsid w:val="00D73EFE"/>
    <w:rsid w:val="00D77C79"/>
    <w:rsid w:val="00D77E17"/>
    <w:rsid w:val="00D8350D"/>
    <w:rsid w:val="00D837EB"/>
    <w:rsid w:val="00D848F8"/>
    <w:rsid w:val="00D8602A"/>
    <w:rsid w:val="00D921AF"/>
    <w:rsid w:val="00D95182"/>
    <w:rsid w:val="00DA14AE"/>
    <w:rsid w:val="00DA168F"/>
    <w:rsid w:val="00DA3A7B"/>
    <w:rsid w:val="00DA419D"/>
    <w:rsid w:val="00DA4516"/>
    <w:rsid w:val="00DB0165"/>
    <w:rsid w:val="00DB098A"/>
    <w:rsid w:val="00DB5705"/>
    <w:rsid w:val="00DB6172"/>
    <w:rsid w:val="00DB6E38"/>
    <w:rsid w:val="00DC0AA4"/>
    <w:rsid w:val="00DC203B"/>
    <w:rsid w:val="00DC379F"/>
    <w:rsid w:val="00DC48C4"/>
    <w:rsid w:val="00DC6741"/>
    <w:rsid w:val="00DC6D08"/>
    <w:rsid w:val="00DC7339"/>
    <w:rsid w:val="00DC7896"/>
    <w:rsid w:val="00DD28F2"/>
    <w:rsid w:val="00DD43CB"/>
    <w:rsid w:val="00DD7514"/>
    <w:rsid w:val="00DD75B8"/>
    <w:rsid w:val="00DE2212"/>
    <w:rsid w:val="00DE2347"/>
    <w:rsid w:val="00DE5389"/>
    <w:rsid w:val="00DE63E6"/>
    <w:rsid w:val="00DE66F0"/>
    <w:rsid w:val="00DE6A48"/>
    <w:rsid w:val="00DF10A9"/>
    <w:rsid w:val="00DF34BB"/>
    <w:rsid w:val="00DF3FB8"/>
    <w:rsid w:val="00DF74B0"/>
    <w:rsid w:val="00E000A4"/>
    <w:rsid w:val="00E00454"/>
    <w:rsid w:val="00E00A62"/>
    <w:rsid w:val="00E01007"/>
    <w:rsid w:val="00E03C02"/>
    <w:rsid w:val="00E06FF7"/>
    <w:rsid w:val="00E12375"/>
    <w:rsid w:val="00E12DB2"/>
    <w:rsid w:val="00E140B3"/>
    <w:rsid w:val="00E16704"/>
    <w:rsid w:val="00E17B76"/>
    <w:rsid w:val="00E2080D"/>
    <w:rsid w:val="00E25AB9"/>
    <w:rsid w:val="00E25AFB"/>
    <w:rsid w:val="00E25B66"/>
    <w:rsid w:val="00E26CEA"/>
    <w:rsid w:val="00E3107A"/>
    <w:rsid w:val="00E34712"/>
    <w:rsid w:val="00E36C46"/>
    <w:rsid w:val="00E4059C"/>
    <w:rsid w:val="00E45136"/>
    <w:rsid w:val="00E52FBA"/>
    <w:rsid w:val="00E56534"/>
    <w:rsid w:val="00E56CF0"/>
    <w:rsid w:val="00E610E9"/>
    <w:rsid w:val="00E63501"/>
    <w:rsid w:val="00E64455"/>
    <w:rsid w:val="00E66105"/>
    <w:rsid w:val="00E70E1F"/>
    <w:rsid w:val="00E749BE"/>
    <w:rsid w:val="00E763CD"/>
    <w:rsid w:val="00E76FD3"/>
    <w:rsid w:val="00E80D4D"/>
    <w:rsid w:val="00E82A2B"/>
    <w:rsid w:val="00E837E7"/>
    <w:rsid w:val="00E8698D"/>
    <w:rsid w:val="00E90CB3"/>
    <w:rsid w:val="00E93389"/>
    <w:rsid w:val="00E93BD0"/>
    <w:rsid w:val="00E95945"/>
    <w:rsid w:val="00E9602A"/>
    <w:rsid w:val="00E96AB6"/>
    <w:rsid w:val="00E96C3B"/>
    <w:rsid w:val="00EA07E9"/>
    <w:rsid w:val="00EA0E11"/>
    <w:rsid w:val="00EA5A09"/>
    <w:rsid w:val="00EB09E6"/>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932"/>
    <w:rsid w:val="00EE1DED"/>
    <w:rsid w:val="00EE3862"/>
    <w:rsid w:val="00EE4892"/>
    <w:rsid w:val="00EE6573"/>
    <w:rsid w:val="00EF3E24"/>
    <w:rsid w:val="00EF4B0F"/>
    <w:rsid w:val="00EF5162"/>
    <w:rsid w:val="00F01B07"/>
    <w:rsid w:val="00F144EC"/>
    <w:rsid w:val="00F173AF"/>
    <w:rsid w:val="00F21A0C"/>
    <w:rsid w:val="00F23F57"/>
    <w:rsid w:val="00F248C9"/>
    <w:rsid w:val="00F30C35"/>
    <w:rsid w:val="00F3100B"/>
    <w:rsid w:val="00F31E62"/>
    <w:rsid w:val="00F323C9"/>
    <w:rsid w:val="00F35653"/>
    <w:rsid w:val="00F3738E"/>
    <w:rsid w:val="00F403CE"/>
    <w:rsid w:val="00F40F3A"/>
    <w:rsid w:val="00F4442E"/>
    <w:rsid w:val="00F463E9"/>
    <w:rsid w:val="00F50635"/>
    <w:rsid w:val="00F5218C"/>
    <w:rsid w:val="00F52827"/>
    <w:rsid w:val="00F52EF6"/>
    <w:rsid w:val="00F54E3F"/>
    <w:rsid w:val="00F55064"/>
    <w:rsid w:val="00F554F4"/>
    <w:rsid w:val="00F7044E"/>
    <w:rsid w:val="00F743A2"/>
    <w:rsid w:val="00F7596C"/>
    <w:rsid w:val="00F764F7"/>
    <w:rsid w:val="00F80045"/>
    <w:rsid w:val="00F801A0"/>
    <w:rsid w:val="00F801F7"/>
    <w:rsid w:val="00F81462"/>
    <w:rsid w:val="00F86959"/>
    <w:rsid w:val="00F877FC"/>
    <w:rsid w:val="00F87CEE"/>
    <w:rsid w:val="00F92EBB"/>
    <w:rsid w:val="00F93ACC"/>
    <w:rsid w:val="00F96112"/>
    <w:rsid w:val="00FA0119"/>
    <w:rsid w:val="00FA05A1"/>
    <w:rsid w:val="00FA0658"/>
    <w:rsid w:val="00FA16FF"/>
    <w:rsid w:val="00FA1A5E"/>
    <w:rsid w:val="00FA459F"/>
    <w:rsid w:val="00FA5577"/>
    <w:rsid w:val="00FB35F4"/>
    <w:rsid w:val="00FB4BAD"/>
    <w:rsid w:val="00FB579B"/>
    <w:rsid w:val="00FC021A"/>
    <w:rsid w:val="00FC15F6"/>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B8ACCDDD-C9F2-4E3D-A985-0BFBAB9A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uiPriority w:val="20"/>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 w:type="character" w:styleId="FollowedHyperlink">
    <w:name w:val="FollowedHyperlink"/>
    <w:basedOn w:val="DefaultParagraphFont"/>
    <w:semiHidden/>
    <w:unhideWhenUsed/>
    <w:rsid w:val="00F54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5823">
      <w:bodyDiv w:val="1"/>
      <w:marLeft w:val="0"/>
      <w:marRight w:val="0"/>
      <w:marTop w:val="0"/>
      <w:marBottom w:val="0"/>
      <w:divBdr>
        <w:top w:val="none" w:sz="0" w:space="0" w:color="auto"/>
        <w:left w:val="none" w:sz="0" w:space="0" w:color="auto"/>
        <w:bottom w:val="none" w:sz="0" w:space="0" w:color="auto"/>
        <w:right w:val="none" w:sz="0" w:space="0" w:color="auto"/>
      </w:divBdr>
    </w:div>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1110200399">
      <w:bodyDiv w:val="1"/>
      <w:marLeft w:val="0"/>
      <w:marRight w:val="0"/>
      <w:marTop w:val="0"/>
      <w:marBottom w:val="0"/>
      <w:divBdr>
        <w:top w:val="none" w:sz="0" w:space="0" w:color="auto"/>
        <w:left w:val="none" w:sz="0" w:space="0" w:color="auto"/>
        <w:bottom w:val="none" w:sz="0" w:space="0" w:color="auto"/>
        <w:right w:val="none" w:sz="0" w:space="0" w:color="auto"/>
      </w:divBdr>
    </w:div>
    <w:div w:id="1245527834">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jela.rosic@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rs/istrazivanja/methodology-and-documents/?a=05&amp;s=0"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60" b="1" i="0" u="none" strike="noStrike" baseline="0">
                <a:solidFill>
                  <a:srgbClr val="333333"/>
                </a:solidFill>
                <a:latin typeface="Arial"/>
                <a:ea typeface="Arial"/>
                <a:cs typeface="Arial"/>
              </a:defRPr>
            </a:pPr>
            <a:r>
              <a:rPr lang="en-US"/>
              <a:t>Area of new buildings in the Republic of Serbia, according to the issued permits</a:t>
            </a:r>
          </a:p>
        </c:rich>
      </c:tx>
      <c:overlay val="0"/>
      <c:spPr>
        <a:noFill/>
        <a:ln w="25400">
          <a:noFill/>
        </a:ln>
      </c:spPr>
    </c:title>
    <c:autoTitleDeleted val="0"/>
    <c:plotArea>
      <c:layout/>
      <c:lineChart>
        <c:grouping val="standard"/>
        <c:varyColors val="0"/>
        <c:ser>
          <c:idx val="0"/>
          <c:order val="0"/>
          <c:tx>
            <c:strRef>
              <c:f>'2018'!$C$39</c:f>
              <c:strCache>
                <c:ptCount val="1"/>
                <c:pt idx="0">
                  <c:v>Total</c:v>
                </c:pt>
              </c:strCache>
            </c:strRef>
          </c:tx>
          <c:spPr>
            <a:ln w="19050" cap="rnd">
              <a:solidFill>
                <a:schemeClr val="accent1"/>
              </a:solidFill>
              <a:round/>
            </a:ln>
            <a:effectLst/>
          </c:spPr>
          <c:marker>
            <c:symbol val="circle"/>
            <c:size val="4"/>
            <c:spPr>
              <a:solidFill>
                <a:schemeClr val="accent1"/>
              </a:solidFill>
              <a:ln w="19050">
                <a:solidFill>
                  <a:schemeClr val="accent1"/>
                </a:solidFill>
              </a:ln>
              <a:effectLst/>
            </c:spPr>
          </c:marker>
          <c:cat>
            <c:multiLvlStrRef>
              <c:f>'2018'!$A$44:$B$68</c:f>
              <c:multiLvlStrCache>
                <c:ptCount val="25"/>
                <c:lvl>
                  <c:pt idx="0">
                    <c:v>V</c:v>
                  </c:pt>
                  <c:pt idx="1">
                    <c:v>VI</c:v>
                  </c:pt>
                  <c:pt idx="2">
                    <c:v>VII</c:v>
                  </c:pt>
                  <c:pt idx="3">
                    <c:v>VIII</c:v>
                  </c:pt>
                  <c:pt idx="4">
                    <c:v>IX</c:v>
                  </c:pt>
                  <c:pt idx="5">
                    <c:v>X</c:v>
                  </c:pt>
                  <c:pt idx="6">
                    <c:v>XI</c:v>
                  </c:pt>
                  <c:pt idx="7">
                    <c:v>XII</c:v>
                  </c:pt>
                  <c:pt idx="8">
                    <c:v>I</c:v>
                  </c:pt>
                  <c:pt idx="9">
                    <c:v>II</c:v>
                  </c:pt>
                  <c:pt idx="10">
                    <c:v>III</c:v>
                  </c:pt>
                  <c:pt idx="11">
                    <c:v>IV</c:v>
                  </c:pt>
                  <c:pt idx="12">
                    <c:v>V</c:v>
                  </c:pt>
                  <c:pt idx="13">
                    <c:v>VI</c:v>
                  </c:pt>
                  <c:pt idx="14">
                    <c:v>VII</c:v>
                  </c:pt>
                  <c:pt idx="15">
                    <c:v>VIII</c:v>
                  </c:pt>
                  <c:pt idx="16">
                    <c:v>IX</c:v>
                  </c:pt>
                  <c:pt idx="17">
                    <c:v>X</c:v>
                  </c:pt>
                  <c:pt idx="18">
                    <c:v>XI</c:v>
                  </c:pt>
                  <c:pt idx="19">
                    <c:v>XII</c:v>
                  </c:pt>
                  <c:pt idx="20">
                    <c:v>I</c:v>
                  </c:pt>
                  <c:pt idx="21">
                    <c:v>II</c:v>
                  </c:pt>
                  <c:pt idx="22">
                    <c:v>III</c:v>
                  </c:pt>
                  <c:pt idx="23">
                    <c:v>IV</c:v>
                  </c:pt>
                  <c:pt idx="24">
                    <c:v>V</c:v>
                  </c:pt>
                </c:lvl>
                <c:lvl>
                  <c:pt idx="0">
                    <c:v>2016</c:v>
                  </c:pt>
                  <c:pt idx="8">
                    <c:v>2017</c:v>
                  </c:pt>
                  <c:pt idx="20">
                    <c:v>2018</c:v>
                  </c:pt>
                </c:lvl>
              </c:multiLvlStrCache>
            </c:multiLvlStrRef>
          </c:cat>
          <c:val>
            <c:numRef>
              <c:f>'2018'!$C$44:$C$68</c:f>
              <c:numCache>
                <c:formatCode>General</c:formatCode>
                <c:ptCount val="25"/>
                <c:pt idx="0">
                  <c:v>267.16699999999997</c:v>
                </c:pt>
                <c:pt idx="1">
                  <c:v>230.36199999999999</c:v>
                </c:pt>
                <c:pt idx="2">
                  <c:v>354.28699999999998</c:v>
                </c:pt>
                <c:pt idx="3">
                  <c:v>262.93900000000002</c:v>
                </c:pt>
                <c:pt idx="4">
                  <c:v>352.63299999999998</c:v>
                </c:pt>
                <c:pt idx="5">
                  <c:v>255.19399999999999</c:v>
                </c:pt>
                <c:pt idx="6">
                  <c:v>253.34899999999999</c:v>
                </c:pt>
                <c:pt idx="7">
                  <c:v>236.60900000000001</c:v>
                </c:pt>
                <c:pt idx="8">
                  <c:v>251.511</c:v>
                </c:pt>
                <c:pt idx="9">
                  <c:v>191.38800000000001</c:v>
                </c:pt>
                <c:pt idx="10">
                  <c:v>219.91399999999999</c:v>
                </c:pt>
                <c:pt idx="11">
                  <c:v>190.40100000000001</c:v>
                </c:pt>
                <c:pt idx="12">
                  <c:v>306.42899999999997</c:v>
                </c:pt>
                <c:pt idx="13">
                  <c:v>370.82600000000002</c:v>
                </c:pt>
                <c:pt idx="14">
                  <c:v>443.42899999999997</c:v>
                </c:pt>
                <c:pt idx="15">
                  <c:v>369.36200000000002</c:v>
                </c:pt>
                <c:pt idx="16">
                  <c:v>296.31700000000001</c:v>
                </c:pt>
                <c:pt idx="17">
                  <c:v>343.86200000000002</c:v>
                </c:pt>
                <c:pt idx="18">
                  <c:v>696.37099999999998</c:v>
                </c:pt>
                <c:pt idx="19">
                  <c:v>315.04500000000002</c:v>
                </c:pt>
                <c:pt idx="20">
                  <c:v>239.24100000000001</c:v>
                </c:pt>
                <c:pt idx="21">
                  <c:v>331.92</c:v>
                </c:pt>
                <c:pt idx="22">
                  <c:v>319.79399999999998</c:v>
                </c:pt>
                <c:pt idx="23">
                  <c:v>293.048</c:v>
                </c:pt>
                <c:pt idx="24">
                  <c:v>392.06</c:v>
                </c:pt>
              </c:numCache>
            </c:numRef>
          </c:val>
          <c:smooth val="0"/>
          <c:extLst>
            <c:ext xmlns:c16="http://schemas.microsoft.com/office/drawing/2014/chart" uri="{C3380CC4-5D6E-409C-BE32-E72D297353CC}">
              <c16:uniqueId val="{00000000-F013-425A-BE48-6D15B152C4A7}"/>
            </c:ext>
          </c:extLst>
        </c:ser>
        <c:ser>
          <c:idx val="1"/>
          <c:order val="1"/>
          <c:tx>
            <c:strRef>
              <c:f>'2018'!$D$39</c:f>
              <c:strCache>
                <c:ptCount val="1"/>
                <c:pt idx="0">
                  <c:v>Residential buildings</c:v>
                </c:pt>
              </c:strCache>
            </c:strRef>
          </c:tx>
          <c:spPr>
            <a:ln w="19050" cap="rnd">
              <a:solidFill>
                <a:schemeClr val="accent2"/>
              </a:solidFill>
              <a:round/>
            </a:ln>
            <a:effectLst/>
          </c:spPr>
          <c:marker>
            <c:symbol val="square"/>
            <c:size val="4"/>
            <c:spPr>
              <a:solidFill>
                <a:srgbClr val="C00000"/>
              </a:solidFill>
              <a:ln w="19050">
                <a:solidFill>
                  <a:srgbClr val="C00000"/>
                </a:solidFill>
              </a:ln>
              <a:effectLst/>
            </c:spPr>
          </c:marker>
          <c:cat>
            <c:multiLvlStrRef>
              <c:f>'2018'!$A$44:$B$68</c:f>
              <c:multiLvlStrCache>
                <c:ptCount val="25"/>
                <c:lvl>
                  <c:pt idx="0">
                    <c:v>V</c:v>
                  </c:pt>
                  <c:pt idx="1">
                    <c:v>VI</c:v>
                  </c:pt>
                  <c:pt idx="2">
                    <c:v>VII</c:v>
                  </c:pt>
                  <c:pt idx="3">
                    <c:v>VIII</c:v>
                  </c:pt>
                  <c:pt idx="4">
                    <c:v>IX</c:v>
                  </c:pt>
                  <c:pt idx="5">
                    <c:v>X</c:v>
                  </c:pt>
                  <c:pt idx="6">
                    <c:v>XI</c:v>
                  </c:pt>
                  <c:pt idx="7">
                    <c:v>XII</c:v>
                  </c:pt>
                  <c:pt idx="8">
                    <c:v>I</c:v>
                  </c:pt>
                  <c:pt idx="9">
                    <c:v>II</c:v>
                  </c:pt>
                  <c:pt idx="10">
                    <c:v>III</c:v>
                  </c:pt>
                  <c:pt idx="11">
                    <c:v>IV</c:v>
                  </c:pt>
                  <c:pt idx="12">
                    <c:v>V</c:v>
                  </c:pt>
                  <c:pt idx="13">
                    <c:v>VI</c:v>
                  </c:pt>
                  <c:pt idx="14">
                    <c:v>VII</c:v>
                  </c:pt>
                  <c:pt idx="15">
                    <c:v>VIII</c:v>
                  </c:pt>
                  <c:pt idx="16">
                    <c:v>IX</c:v>
                  </c:pt>
                  <c:pt idx="17">
                    <c:v>X</c:v>
                  </c:pt>
                  <c:pt idx="18">
                    <c:v>XI</c:v>
                  </c:pt>
                  <c:pt idx="19">
                    <c:v>XII</c:v>
                  </c:pt>
                  <c:pt idx="20">
                    <c:v>I</c:v>
                  </c:pt>
                  <c:pt idx="21">
                    <c:v>II</c:v>
                  </c:pt>
                  <c:pt idx="22">
                    <c:v>III</c:v>
                  </c:pt>
                  <c:pt idx="23">
                    <c:v>IV</c:v>
                  </c:pt>
                  <c:pt idx="24">
                    <c:v>V</c:v>
                  </c:pt>
                </c:lvl>
                <c:lvl>
                  <c:pt idx="0">
                    <c:v>2016</c:v>
                  </c:pt>
                  <c:pt idx="8">
                    <c:v>2017</c:v>
                  </c:pt>
                  <c:pt idx="20">
                    <c:v>2018</c:v>
                  </c:pt>
                </c:lvl>
              </c:multiLvlStrCache>
            </c:multiLvlStrRef>
          </c:cat>
          <c:val>
            <c:numRef>
              <c:f>'2018'!$D$44:$D$68</c:f>
              <c:numCache>
                <c:formatCode>General</c:formatCode>
                <c:ptCount val="25"/>
                <c:pt idx="0">
                  <c:v>128.136</c:v>
                </c:pt>
                <c:pt idx="1">
                  <c:v>108.19799999999999</c:v>
                </c:pt>
                <c:pt idx="2">
                  <c:v>116.515</c:v>
                </c:pt>
                <c:pt idx="3">
                  <c:v>147.255</c:v>
                </c:pt>
                <c:pt idx="4">
                  <c:v>180.90799999999999</c:v>
                </c:pt>
                <c:pt idx="5">
                  <c:v>143.815</c:v>
                </c:pt>
                <c:pt idx="6">
                  <c:v>137.83199999999999</c:v>
                </c:pt>
                <c:pt idx="7">
                  <c:v>113.99299999999999</c:v>
                </c:pt>
                <c:pt idx="8">
                  <c:v>72.366</c:v>
                </c:pt>
                <c:pt idx="9">
                  <c:v>70.679000000000002</c:v>
                </c:pt>
                <c:pt idx="10">
                  <c:v>114.015</c:v>
                </c:pt>
                <c:pt idx="11">
                  <c:v>116.30800000000001</c:v>
                </c:pt>
                <c:pt idx="12">
                  <c:v>180.21700000000001</c:v>
                </c:pt>
                <c:pt idx="13">
                  <c:v>185.791</c:v>
                </c:pt>
                <c:pt idx="14">
                  <c:v>256.94900000000001</c:v>
                </c:pt>
                <c:pt idx="15">
                  <c:v>207.88</c:v>
                </c:pt>
                <c:pt idx="16">
                  <c:v>133.00800000000001</c:v>
                </c:pt>
                <c:pt idx="17">
                  <c:v>183.10599999999999</c:v>
                </c:pt>
                <c:pt idx="18">
                  <c:v>222.38</c:v>
                </c:pt>
                <c:pt idx="19">
                  <c:v>204.24700000000001</c:v>
                </c:pt>
                <c:pt idx="20">
                  <c:v>138.191</c:v>
                </c:pt>
                <c:pt idx="21">
                  <c:v>149.453</c:v>
                </c:pt>
                <c:pt idx="22">
                  <c:v>153.87299999999999</c:v>
                </c:pt>
                <c:pt idx="23">
                  <c:v>139.33699999999999</c:v>
                </c:pt>
                <c:pt idx="24">
                  <c:v>240.98699999999999</c:v>
                </c:pt>
              </c:numCache>
            </c:numRef>
          </c:val>
          <c:smooth val="0"/>
          <c:extLst>
            <c:ext xmlns:c16="http://schemas.microsoft.com/office/drawing/2014/chart" uri="{C3380CC4-5D6E-409C-BE32-E72D297353CC}">
              <c16:uniqueId val="{00000001-F013-425A-BE48-6D15B152C4A7}"/>
            </c:ext>
          </c:extLst>
        </c:ser>
        <c:ser>
          <c:idx val="2"/>
          <c:order val="2"/>
          <c:tx>
            <c:strRef>
              <c:f>'2018'!$E$39</c:f>
              <c:strCache>
                <c:ptCount val="1"/>
                <c:pt idx="0">
                  <c:v>Non-residential buildings</c:v>
                </c:pt>
              </c:strCache>
            </c:strRef>
          </c:tx>
          <c:spPr>
            <a:ln w="19050" cap="rnd">
              <a:solidFill>
                <a:srgbClr val="92D050"/>
              </a:solidFill>
              <a:round/>
            </a:ln>
            <a:effectLst/>
          </c:spPr>
          <c:marker>
            <c:symbol val="triangle"/>
            <c:size val="4"/>
            <c:spPr>
              <a:solidFill>
                <a:schemeClr val="accent3"/>
              </a:solidFill>
              <a:ln w="19050">
                <a:solidFill>
                  <a:srgbClr val="92D050"/>
                </a:solidFill>
              </a:ln>
              <a:effectLst/>
            </c:spPr>
          </c:marker>
          <c:cat>
            <c:multiLvlStrRef>
              <c:f>'2018'!$A$44:$B$68</c:f>
              <c:multiLvlStrCache>
                <c:ptCount val="25"/>
                <c:lvl>
                  <c:pt idx="0">
                    <c:v>V</c:v>
                  </c:pt>
                  <c:pt idx="1">
                    <c:v>VI</c:v>
                  </c:pt>
                  <c:pt idx="2">
                    <c:v>VII</c:v>
                  </c:pt>
                  <c:pt idx="3">
                    <c:v>VIII</c:v>
                  </c:pt>
                  <c:pt idx="4">
                    <c:v>IX</c:v>
                  </c:pt>
                  <c:pt idx="5">
                    <c:v>X</c:v>
                  </c:pt>
                  <c:pt idx="6">
                    <c:v>XI</c:v>
                  </c:pt>
                  <c:pt idx="7">
                    <c:v>XII</c:v>
                  </c:pt>
                  <c:pt idx="8">
                    <c:v>I</c:v>
                  </c:pt>
                  <c:pt idx="9">
                    <c:v>II</c:v>
                  </c:pt>
                  <c:pt idx="10">
                    <c:v>III</c:v>
                  </c:pt>
                  <c:pt idx="11">
                    <c:v>IV</c:v>
                  </c:pt>
                  <c:pt idx="12">
                    <c:v>V</c:v>
                  </c:pt>
                  <c:pt idx="13">
                    <c:v>VI</c:v>
                  </c:pt>
                  <c:pt idx="14">
                    <c:v>VII</c:v>
                  </c:pt>
                  <c:pt idx="15">
                    <c:v>VIII</c:v>
                  </c:pt>
                  <c:pt idx="16">
                    <c:v>IX</c:v>
                  </c:pt>
                  <c:pt idx="17">
                    <c:v>X</c:v>
                  </c:pt>
                  <c:pt idx="18">
                    <c:v>XI</c:v>
                  </c:pt>
                  <c:pt idx="19">
                    <c:v>XII</c:v>
                  </c:pt>
                  <c:pt idx="20">
                    <c:v>I</c:v>
                  </c:pt>
                  <c:pt idx="21">
                    <c:v>II</c:v>
                  </c:pt>
                  <c:pt idx="22">
                    <c:v>III</c:v>
                  </c:pt>
                  <c:pt idx="23">
                    <c:v>IV</c:v>
                  </c:pt>
                  <c:pt idx="24">
                    <c:v>V</c:v>
                  </c:pt>
                </c:lvl>
                <c:lvl>
                  <c:pt idx="0">
                    <c:v>2016</c:v>
                  </c:pt>
                  <c:pt idx="8">
                    <c:v>2017</c:v>
                  </c:pt>
                  <c:pt idx="20">
                    <c:v>2018</c:v>
                  </c:pt>
                </c:lvl>
              </c:multiLvlStrCache>
            </c:multiLvlStrRef>
          </c:cat>
          <c:val>
            <c:numRef>
              <c:f>'2018'!$E$44:$E$68</c:f>
              <c:numCache>
                <c:formatCode>General</c:formatCode>
                <c:ptCount val="25"/>
                <c:pt idx="0">
                  <c:v>139.03100000000001</c:v>
                </c:pt>
                <c:pt idx="1">
                  <c:v>122.164</c:v>
                </c:pt>
                <c:pt idx="2">
                  <c:v>237.77199999999999</c:v>
                </c:pt>
                <c:pt idx="3">
                  <c:v>115.684</c:v>
                </c:pt>
                <c:pt idx="4">
                  <c:v>171.72499999999999</c:v>
                </c:pt>
                <c:pt idx="5">
                  <c:v>111.379</c:v>
                </c:pt>
                <c:pt idx="6">
                  <c:v>115.517</c:v>
                </c:pt>
                <c:pt idx="7">
                  <c:v>122.616</c:v>
                </c:pt>
                <c:pt idx="8">
                  <c:v>179.14500000000001</c:v>
                </c:pt>
                <c:pt idx="9">
                  <c:v>120.709</c:v>
                </c:pt>
                <c:pt idx="10">
                  <c:v>105.899</c:v>
                </c:pt>
                <c:pt idx="11">
                  <c:v>74.093000000000004</c:v>
                </c:pt>
                <c:pt idx="12">
                  <c:v>126.212</c:v>
                </c:pt>
                <c:pt idx="13">
                  <c:v>185.035</c:v>
                </c:pt>
                <c:pt idx="14">
                  <c:v>186.48</c:v>
                </c:pt>
                <c:pt idx="15">
                  <c:v>161.482</c:v>
                </c:pt>
                <c:pt idx="16">
                  <c:v>163.309</c:v>
                </c:pt>
                <c:pt idx="17">
                  <c:v>160.756</c:v>
                </c:pt>
                <c:pt idx="18">
                  <c:v>473.99099999999999</c:v>
                </c:pt>
                <c:pt idx="19">
                  <c:v>110.798</c:v>
                </c:pt>
                <c:pt idx="20">
                  <c:v>101.05</c:v>
                </c:pt>
                <c:pt idx="21">
                  <c:v>182.46700000000001</c:v>
                </c:pt>
                <c:pt idx="22">
                  <c:v>165.92099999999999</c:v>
                </c:pt>
                <c:pt idx="23">
                  <c:v>153.71100000000001</c:v>
                </c:pt>
                <c:pt idx="24">
                  <c:v>151.07300000000001</c:v>
                </c:pt>
              </c:numCache>
            </c:numRef>
          </c:val>
          <c:smooth val="0"/>
          <c:extLst>
            <c:ext xmlns:c16="http://schemas.microsoft.com/office/drawing/2014/chart" uri="{C3380CC4-5D6E-409C-BE32-E72D297353CC}">
              <c16:uniqueId val="{00000002-F013-425A-BE48-6D15B152C4A7}"/>
            </c:ext>
          </c:extLst>
        </c:ser>
        <c:dLbls>
          <c:showLegendKey val="0"/>
          <c:showVal val="0"/>
          <c:showCatName val="0"/>
          <c:showSerName val="0"/>
          <c:showPercent val="0"/>
          <c:showBubbleSize val="0"/>
        </c:dLbls>
        <c:marker val="1"/>
        <c:smooth val="0"/>
        <c:axId val="991192784"/>
        <c:axId val="1"/>
      </c:lineChart>
      <c:catAx>
        <c:axId val="99119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000000"/>
                </a:solidFill>
                <a:latin typeface="Arial"/>
                <a:ea typeface="Arial"/>
                <a:cs typeface="Arial"/>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000000"/>
                </a:solidFill>
                <a:latin typeface="Arial"/>
                <a:ea typeface="Arial"/>
                <a:cs typeface="Arial"/>
              </a:defRPr>
            </a:pPr>
            <a:endParaRPr lang="en-US"/>
          </a:p>
        </c:txPr>
        <c:crossAx val="991192784"/>
        <c:crosses val="autoZero"/>
        <c:crossBetween val="between"/>
      </c:valAx>
      <c:spPr>
        <a:noFill/>
        <a:ln w="25400">
          <a:noFill/>
        </a:ln>
      </c:spPr>
    </c:plotArea>
    <c:legend>
      <c:legendPos val="b"/>
      <c:overlay val="0"/>
      <c:spPr>
        <a:noFill/>
        <a:ln w="25400">
          <a:noFill/>
        </a:ln>
      </c:spPr>
      <c:txPr>
        <a:bodyPr/>
        <a:lstStyle/>
        <a:p>
          <a:pPr>
            <a:defRPr sz="525" b="0" i="0" u="none" strike="noStrike" baseline="0">
              <a:solidFill>
                <a:srgbClr val="000000"/>
              </a:solidFill>
              <a:latin typeface="Arial"/>
              <a:ea typeface="Arial"/>
              <a:cs typeface="Arial"/>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0.01975</cdr:x>
      <cdr:y>0.03182</cdr:y>
    </cdr:from>
    <cdr:to>
      <cdr:x>0.04513</cdr:x>
      <cdr:y>0.07273</cdr:y>
    </cdr:to>
    <cdr:sp macro="" textlink="">
      <cdr:nvSpPr>
        <cdr:cNvPr id="2" name="TextBox 1"/>
        <cdr:cNvSpPr txBox="1"/>
      </cdr:nvSpPr>
      <cdr:spPr>
        <a:xfrm xmlns:a="http://schemas.openxmlformats.org/drawingml/2006/main">
          <a:off x="133350" y="133350"/>
          <a:ext cx="17145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0.00846</cdr:x>
      <cdr:y>0.025</cdr:y>
    </cdr:from>
    <cdr:to>
      <cdr:x>0.06629</cdr:x>
      <cdr:y>0.10682</cdr:y>
    </cdr:to>
    <cdr:sp macro="" textlink="">
      <cdr:nvSpPr>
        <cdr:cNvPr id="3" name="TextBox 2"/>
        <cdr:cNvSpPr txBox="1"/>
      </cdr:nvSpPr>
      <cdr:spPr>
        <a:xfrm xmlns:a="http://schemas.openxmlformats.org/drawingml/2006/main">
          <a:off x="57150" y="104775"/>
          <a:ext cx="390526"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r-Latn-RS" sz="1100"/>
            <a:t>m</a:t>
          </a:r>
          <a:r>
            <a:rPr lang="sr-Latn-RS" sz="1100" baseline="30000"/>
            <a:t>2</a:t>
          </a:r>
          <a:endParaRPr lang="en-US" sz="1100" baseline="30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38E96-9782-4A8C-9B2F-B6B908E6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4847</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11</cp:revision>
  <cp:lastPrinted>2018-03-15T07:41:00Z</cp:lastPrinted>
  <dcterms:created xsi:type="dcterms:W3CDTF">2018-06-14T07:10:00Z</dcterms:created>
  <dcterms:modified xsi:type="dcterms:W3CDTF">2018-07-13T12:21:00Z</dcterms:modified>
</cp:coreProperties>
</file>