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6D2B31" w:rsidRPr="00C7157F" w:rsidTr="00CA59AA">
        <w:trPr>
          <w:cantSplit/>
          <w:trHeight w:hRule="exact" w:val="113"/>
        </w:trPr>
        <w:tc>
          <w:tcPr>
            <w:tcW w:w="1743" w:type="dxa"/>
            <w:vMerge w:val="restart"/>
            <w:tcBorders>
              <w:top w:val="single" w:sz="18" w:space="0" w:color="808080"/>
              <w:left w:val="nil"/>
              <w:bottom w:val="nil"/>
            </w:tcBorders>
            <w:vAlign w:val="center"/>
          </w:tcPr>
          <w:p w:rsidR="006D2B31" w:rsidRPr="00C7157F" w:rsidRDefault="006D2B31" w:rsidP="00CA59AA">
            <w:pPr>
              <w:rPr>
                <w:rFonts w:cs="Arial"/>
                <w:color w:val="808080"/>
                <w:szCs w:val="20"/>
              </w:rPr>
            </w:pPr>
            <w:r w:rsidRPr="0087354B">
              <w:rPr>
                <w:rFonts w:cs="Arial"/>
                <w:noProof/>
                <w:color w:val="808080"/>
                <w:sz w:val="24"/>
                <w:lang w:val="en-US"/>
              </w:rPr>
              <w:drawing>
                <wp:inline distT="0" distB="0" distL="0" distR="0" wp14:anchorId="48CFAEF0" wp14:editId="627719FB">
                  <wp:extent cx="904875" cy="219075"/>
                  <wp:effectExtent l="0" t="0" r="0" b="0"/>
                  <wp:docPr id="1" name="Picture 3"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6D2B31" w:rsidRPr="00C7157F" w:rsidRDefault="006D2B31" w:rsidP="00CA59AA">
            <w:pPr>
              <w:rPr>
                <w:rFonts w:cs="Arial"/>
                <w:szCs w:val="20"/>
              </w:rPr>
            </w:pPr>
            <w:r w:rsidRPr="003C4F91">
              <w:rPr>
                <w:rFonts w:cs="Arial"/>
              </w:rPr>
              <w:t>Statistical Office of the Republic of Serbia</w:t>
            </w:r>
          </w:p>
        </w:tc>
        <w:tc>
          <w:tcPr>
            <w:tcW w:w="2880" w:type="dxa"/>
            <w:tcBorders>
              <w:top w:val="single" w:sz="18" w:space="0" w:color="808080"/>
              <w:bottom w:val="nil"/>
              <w:right w:val="nil"/>
            </w:tcBorders>
            <w:vAlign w:val="center"/>
          </w:tcPr>
          <w:p w:rsidR="006D2B31" w:rsidRPr="00C7157F" w:rsidRDefault="006D2B31" w:rsidP="00CA59AA">
            <w:pPr>
              <w:rPr>
                <w:rFonts w:cs="Arial"/>
                <w:b/>
                <w:color w:val="808080"/>
                <w:sz w:val="24"/>
              </w:rPr>
            </w:pPr>
          </w:p>
        </w:tc>
      </w:tr>
      <w:tr w:rsidR="006D2B31" w:rsidRPr="00C7157F" w:rsidTr="00CA59AA">
        <w:trPr>
          <w:cantSplit/>
          <w:trHeight w:val="494"/>
        </w:trPr>
        <w:tc>
          <w:tcPr>
            <w:tcW w:w="1743" w:type="dxa"/>
            <w:vMerge/>
            <w:tcBorders>
              <w:top w:val="nil"/>
              <w:left w:val="nil"/>
              <w:bottom w:val="nil"/>
            </w:tcBorders>
          </w:tcPr>
          <w:p w:rsidR="006D2B31" w:rsidRPr="00C7157F" w:rsidRDefault="006D2B31" w:rsidP="006D2B31">
            <w:pPr>
              <w:widowControl w:val="0"/>
              <w:ind w:left="144"/>
              <w:jc w:val="both"/>
              <w:rPr>
                <w:rFonts w:cs="Arial"/>
                <w:b/>
                <w:snapToGrid w:val="0"/>
                <w:color w:val="808080"/>
                <w:sz w:val="28"/>
                <w:szCs w:val="20"/>
              </w:rPr>
            </w:pPr>
          </w:p>
        </w:tc>
        <w:tc>
          <w:tcPr>
            <w:tcW w:w="5231" w:type="dxa"/>
            <w:vMerge/>
            <w:tcBorders>
              <w:top w:val="nil"/>
              <w:left w:val="nil"/>
              <w:bottom w:val="nil"/>
            </w:tcBorders>
            <w:vAlign w:val="center"/>
          </w:tcPr>
          <w:p w:rsidR="006D2B31" w:rsidRPr="00C7157F" w:rsidRDefault="006D2B31" w:rsidP="006D2B31">
            <w:pPr>
              <w:widowControl w:val="0"/>
              <w:ind w:left="144"/>
              <w:jc w:val="both"/>
              <w:rPr>
                <w:rFonts w:cs="Arial"/>
                <w:b/>
                <w:snapToGrid w:val="0"/>
                <w:color w:val="808080"/>
                <w:sz w:val="28"/>
                <w:szCs w:val="20"/>
              </w:rPr>
            </w:pPr>
          </w:p>
        </w:tc>
        <w:tc>
          <w:tcPr>
            <w:tcW w:w="2880" w:type="dxa"/>
            <w:tcBorders>
              <w:top w:val="nil"/>
              <w:bottom w:val="nil"/>
              <w:right w:val="nil"/>
            </w:tcBorders>
            <w:vAlign w:val="center"/>
          </w:tcPr>
          <w:p w:rsidR="006D2B31" w:rsidRPr="00C7157F" w:rsidRDefault="006D2B31" w:rsidP="006D2B31">
            <w:pPr>
              <w:keepNext/>
              <w:jc w:val="right"/>
              <w:outlineLvl w:val="4"/>
              <w:rPr>
                <w:rFonts w:cs="Arial"/>
              </w:rPr>
            </w:pPr>
            <w:r w:rsidRPr="00C7157F">
              <w:rPr>
                <w:rFonts w:cs="Arial"/>
              </w:rPr>
              <w:t>ИССН 0353-9555</w:t>
            </w:r>
          </w:p>
        </w:tc>
      </w:tr>
      <w:tr w:rsidR="006D2B31" w:rsidRPr="00C7157F" w:rsidTr="00CA59AA">
        <w:trPr>
          <w:cantSplit/>
          <w:trHeight w:val="855"/>
        </w:trPr>
        <w:tc>
          <w:tcPr>
            <w:tcW w:w="6974" w:type="dxa"/>
            <w:gridSpan w:val="2"/>
            <w:tcBorders>
              <w:top w:val="nil"/>
              <w:left w:val="nil"/>
              <w:right w:val="nil"/>
            </w:tcBorders>
            <w:vAlign w:val="center"/>
          </w:tcPr>
          <w:p w:rsidR="006D2B31" w:rsidRPr="00C7157F" w:rsidRDefault="006D2B31" w:rsidP="006D2B31">
            <w:pPr>
              <w:rPr>
                <w:rFonts w:cs="Arial"/>
                <w:color w:val="808080"/>
                <w:szCs w:val="20"/>
              </w:rPr>
            </w:pPr>
            <w:r w:rsidRPr="003C4F91">
              <w:rPr>
                <w:rFonts w:cs="Arial"/>
                <w:b/>
                <w:color w:val="808080"/>
                <w:sz w:val="48"/>
                <w:szCs w:val="48"/>
              </w:rPr>
              <w:t>STATISTICAL RELEASE</w:t>
            </w:r>
          </w:p>
        </w:tc>
        <w:tc>
          <w:tcPr>
            <w:tcW w:w="2880" w:type="dxa"/>
            <w:vMerge w:val="restart"/>
            <w:tcBorders>
              <w:top w:val="nil"/>
              <w:left w:val="nil"/>
              <w:right w:val="nil"/>
            </w:tcBorders>
            <w:vAlign w:val="center"/>
          </w:tcPr>
          <w:p w:rsidR="006D2B31" w:rsidRPr="003C4F91" w:rsidRDefault="006D2B31" w:rsidP="006D2B31">
            <w:pPr>
              <w:jc w:val="right"/>
              <w:rPr>
                <w:rFonts w:cs="Arial"/>
                <w:b/>
                <w:color w:val="808080"/>
                <w:sz w:val="12"/>
              </w:rPr>
            </w:pPr>
            <w:r w:rsidRPr="003C4F91">
              <w:rPr>
                <w:rFonts w:cs="Arial"/>
                <w:b/>
                <w:bCs/>
                <w:color w:val="808080"/>
                <w:sz w:val="48"/>
                <w:szCs w:val="48"/>
              </w:rPr>
              <w:t>ZS40</w:t>
            </w:r>
          </w:p>
          <w:p w:rsidR="006D2B31" w:rsidRPr="003C4F91" w:rsidRDefault="006D2B31" w:rsidP="006D2B31">
            <w:pPr>
              <w:jc w:val="right"/>
              <w:rPr>
                <w:rFonts w:cs="Arial"/>
                <w:b/>
                <w:color w:val="808080"/>
                <w:sz w:val="12"/>
              </w:rPr>
            </w:pPr>
          </w:p>
        </w:tc>
      </w:tr>
      <w:tr w:rsidR="006D2B31" w:rsidRPr="00C7157F" w:rsidTr="00CA59AA">
        <w:trPr>
          <w:cantSplit/>
          <w:trHeight w:hRule="exact" w:val="285"/>
        </w:trPr>
        <w:tc>
          <w:tcPr>
            <w:tcW w:w="6974" w:type="dxa"/>
            <w:gridSpan w:val="2"/>
            <w:tcBorders>
              <w:top w:val="nil"/>
              <w:left w:val="nil"/>
              <w:bottom w:val="nil"/>
              <w:right w:val="nil"/>
            </w:tcBorders>
            <w:vAlign w:val="bottom"/>
          </w:tcPr>
          <w:p w:rsidR="006D2B31" w:rsidRPr="00C7157F" w:rsidRDefault="006D2B31" w:rsidP="006D2B31">
            <w:pPr>
              <w:rPr>
                <w:rFonts w:cs="Arial"/>
                <w:szCs w:val="20"/>
              </w:rPr>
            </w:pPr>
            <w:r w:rsidRPr="003C4F91">
              <w:rPr>
                <w:rFonts w:cs="Arial"/>
                <w:sz w:val="22"/>
              </w:rPr>
              <w:t>Number 128 • Year LXVIII, 25/05/2018</w:t>
            </w:r>
          </w:p>
        </w:tc>
        <w:tc>
          <w:tcPr>
            <w:tcW w:w="2880" w:type="dxa"/>
            <w:vMerge/>
            <w:tcBorders>
              <w:left w:val="nil"/>
              <w:bottom w:val="nil"/>
              <w:right w:val="nil"/>
            </w:tcBorders>
            <w:vAlign w:val="center"/>
          </w:tcPr>
          <w:p w:rsidR="006D2B31" w:rsidRPr="00C7157F" w:rsidRDefault="006D2B31" w:rsidP="006D2B31">
            <w:pPr>
              <w:jc w:val="right"/>
              <w:rPr>
                <w:rFonts w:cs="Arial"/>
                <w:b/>
                <w:color w:val="808080"/>
                <w:sz w:val="48"/>
                <w:szCs w:val="48"/>
              </w:rPr>
            </w:pPr>
          </w:p>
        </w:tc>
      </w:tr>
      <w:tr w:rsidR="006D2B31" w:rsidRPr="00C7157F" w:rsidTr="00CA59AA">
        <w:trPr>
          <w:cantSplit/>
          <w:trHeight w:hRule="exact" w:val="305"/>
        </w:trPr>
        <w:tc>
          <w:tcPr>
            <w:tcW w:w="6974" w:type="dxa"/>
            <w:gridSpan w:val="2"/>
            <w:tcBorders>
              <w:top w:val="nil"/>
              <w:left w:val="nil"/>
              <w:bottom w:val="single" w:sz="18" w:space="0" w:color="808080"/>
              <w:right w:val="nil"/>
            </w:tcBorders>
            <w:vAlign w:val="center"/>
          </w:tcPr>
          <w:p w:rsidR="006D2B31" w:rsidRPr="00C7157F" w:rsidRDefault="006D2B31" w:rsidP="006D2B31">
            <w:pPr>
              <w:rPr>
                <w:rFonts w:cs="Arial"/>
                <w:b/>
                <w:bCs/>
                <w:sz w:val="24"/>
              </w:rPr>
            </w:pPr>
            <w:r w:rsidRPr="003C4F91">
              <w:rPr>
                <w:rFonts w:cs="Arial"/>
                <w:b/>
                <w:sz w:val="24"/>
              </w:rPr>
              <w:t>Environmental statistics</w:t>
            </w:r>
          </w:p>
        </w:tc>
        <w:tc>
          <w:tcPr>
            <w:tcW w:w="2880" w:type="dxa"/>
            <w:tcBorders>
              <w:top w:val="nil"/>
              <w:left w:val="nil"/>
              <w:bottom w:val="single" w:sz="18" w:space="0" w:color="808080"/>
              <w:right w:val="nil"/>
            </w:tcBorders>
            <w:vAlign w:val="center"/>
          </w:tcPr>
          <w:p w:rsidR="006D2B31" w:rsidRPr="003C4F91" w:rsidRDefault="006D2B31" w:rsidP="006D2B31">
            <w:pPr>
              <w:jc w:val="right"/>
              <w:rPr>
                <w:rFonts w:cs="Arial"/>
                <w:szCs w:val="20"/>
              </w:rPr>
            </w:pPr>
            <w:r w:rsidRPr="003C4F91">
              <w:rPr>
                <w:rFonts w:cs="Arial"/>
              </w:rPr>
              <w:t>SERB128 ZS40 250518</w:t>
            </w:r>
          </w:p>
        </w:tc>
      </w:tr>
    </w:tbl>
    <w:p w:rsidR="00A521C9" w:rsidRPr="003C4F91" w:rsidRDefault="00A521C9" w:rsidP="00A521C9">
      <w:pPr>
        <w:spacing w:before="720" w:after="120"/>
        <w:jc w:val="center"/>
        <w:rPr>
          <w:rFonts w:cs="Arial"/>
          <w:b/>
          <w:bCs/>
          <w:sz w:val="24"/>
        </w:rPr>
      </w:pPr>
      <w:r w:rsidRPr="003C4F91">
        <w:rPr>
          <w:rFonts w:cs="Arial"/>
          <w:b/>
          <w:bCs/>
          <w:sz w:val="24"/>
        </w:rPr>
        <w:t>Urban wastewater, 2017</w:t>
      </w:r>
    </w:p>
    <w:p w:rsidR="002B0DBF" w:rsidRPr="003C4F91" w:rsidRDefault="00A521C9" w:rsidP="002B0DBF">
      <w:pPr>
        <w:spacing w:before="480" w:after="240"/>
        <w:rPr>
          <w:rFonts w:cs="Arial"/>
          <w:b/>
          <w:sz w:val="22"/>
          <w:szCs w:val="22"/>
        </w:rPr>
      </w:pPr>
      <w:r w:rsidRPr="003C4F91">
        <w:rPr>
          <w:rFonts w:cs="Arial"/>
          <w:b/>
          <w:sz w:val="22"/>
          <w:szCs w:val="22"/>
        </w:rPr>
        <w:t xml:space="preserve">More discharged and treated wastewater </w:t>
      </w:r>
    </w:p>
    <w:p w:rsidR="00A521C9" w:rsidRPr="003C4F91" w:rsidRDefault="00A521C9" w:rsidP="00A521C9">
      <w:pPr>
        <w:spacing w:before="120" w:after="120"/>
        <w:ind w:firstLine="397"/>
        <w:jc w:val="both"/>
        <w:rPr>
          <w:rFonts w:cs="Arial"/>
          <w:szCs w:val="20"/>
        </w:rPr>
      </w:pPr>
      <w:r w:rsidRPr="003C4F91">
        <w:rPr>
          <w:rFonts w:cs="Arial"/>
          <w:szCs w:val="20"/>
        </w:rPr>
        <w:t xml:space="preserve">Total quantity of wastewater in 2017 increased by 4.0%, relative to the referent period 2016, of which the amount of wastewater discharged into wastewater collecting system increased by 3.8% relative to 2016. The amount of wastewater discharged into septic tanks increased by 4.5% compared to 2016. </w:t>
      </w:r>
    </w:p>
    <w:p w:rsidR="00A521C9" w:rsidRPr="003C4F91" w:rsidRDefault="00A521C9" w:rsidP="00A521C9">
      <w:pPr>
        <w:spacing w:before="120" w:after="120"/>
        <w:ind w:firstLine="397"/>
        <w:jc w:val="both"/>
        <w:rPr>
          <w:rFonts w:cs="Arial"/>
          <w:szCs w:val="20"/>
        </w:rPr>
      </w:pPr>
      <w:r w:rsidRPr="003C4F91">
        <w:rPr>
          <w:rFonts w:cs="Arial"/>
          <w:szCs w:val="20"/>
        </w:rPr>
        <w:t>Regarding wastewater discharge into public sewerage system in 2017, compared to 2016, households discharged by 3.3% more wastewater, wastewater discharged from the industrial sector</w:t>
      </w:r>
      <w:r w:rsidRPr="003C4F91">
        <w:rPr>
          <w:rStyle w:val="FootnoteReference"/>
          <w:rFonts w:cs="Arial"/>
          <w:szCs w:val="20"/>
        </w:rPr>
        <w:footnoteReference w:id="1"/>
      </w:r>
      <w:r w:rsidRPr="003C4F91">
        <w:rPr>
          <w:rFonts w:cs="Arial"/>
          <w:szCs w:val="20"/>
        </w:rPr>
        <w:t xml:space="preserve"> noted the decrease of 4.5%, while other users</w:t>
      </w:r>
      <w:r w:rsidRPr="003C4F91">
        <w:rPr>
          <w:rStyle w:val="FootnoteReference"/>
          <w:rFonts w:cs="Arial"/>
          <w:szCs w:val="20"/>
        </w:rPr>
        <w:footnoteReference w:id="2"/>
      </w:r>
      <w:r w:rsidRPr="003C4F91">
        <w:rPr>
          <w:rFonts w:cs="Arial"/>
          <w:szCs w:val="20"/>
        </w:rPr>
        <w:t xml:space="preserve"> discharged by 14.1% more wastewater.</w:t>
      </w:r>
    </w:p>
    <w:p w:rsidR="00A521C9" w:rsidRPr="003C4F91" w:rsidRDefault="00A521C9" w:rsidP="00A521C9">
      <w:pPr>
        <w:spacing w:before="120" w:after="120"/>
        <w:ind w:firstLine="397"/>
        <w:jc w:val="both"/>
        <w:rPr>
          <w:rFonts w:cs="Arial"/>
          <w:szCs w:val="20"/>
        </w:rPr>
      </w:pPr>
      <w:r w:rsidRPr="003C4F91">
        <w:rPr>
          <w:rFonts w:cs="Arial"/>
          <w:szCs w:val="20"/>
        </w:rPr>
        <w:t>In 2017, treated wastewater increased by 4.4% compared to 2016 and the most frequently applied method was secondary treatment.</w:t>
      </w:r>
    </w:p>
    <w:p w:rsidR="002B0DBF" w:rsidRPr="003C4F91" w:rsidRDefault="00A521C9" w:rsidP="002B0DBF">
      <w:pPr>
        <w:spacing w:before="480" w:after="240"/>
        <w:rPr>
          <w:rFonts w:cs="Arial"/>
          <w:b/>
          <w:sz w:val="22"/>
          <w:szCs w:val="22"/>
        </w:rPr>
      </w:pPr>
      <w:r w:rsidRPr="003C4F91">
        <w:rPr>
          <w:rFonts w:cs="Arial"/>
          <w:b/>
          <w:sz w:val="22"/>
          <w:szCs w:val="22"/>
        </w:rPr>
        <w:t xml:space="preserve">More </w:t>
      </w:r>
      <w:r w:rsidR="003C4F91" w:rsidRPr="003C4F91">
        <w:rPr>
          <w:rFonts w:cs="Arial"/>
          <w:b/>
          <w:sz w:val="22"/>
          <w:szCs w:val="22"/>
        </w:rPr>
        <w:t>kilometres</w:t>
      </w:r>
      <w:r w:rsidRPr="003C4F91">
        <w:rPr>
          <w:rFonts w:cs="Arial"/>
          <w:b/>
          <w:sz w:val="22"/>
          <w:szCs w:val="22"/>
        </w:rPr>
        <w:t xml:space="preserve"> of wastewater collecting system </w:t>
      </w:r>
    </w:p>
    <w:p w:rsidR="00A521C9" w:rsidRPr="003C4F91" w:rsidRDefault="00A521C9" w:rsidP="002B0DBF">
      <w:pPr>
        <w:spacing w:before="120" w:after="120"/>
        <w:ind w:firstLine="397"/>
        <w:jc w:val="both"/>
        <w:rPr>
          <w:rFonts w:cs="Arial"/>
          <w:szCs w:val="20"/>
        </w:rPr>
      </w:pPr>
      <w:r w:rsidRPr="003C4F91">
        <w:rPr>
          <w:rFonts w:cs="Arial"/>
          <w:szCs w:val="20"/>
        </w:rPr>
        <w:t>Wastewater collecting system in 2017 is by 3.4% longer relative to 2016, while the number of new connections to the system increased by 1.0% compared to 2016.</w:t>
      </w:r>
    </w:p>
    <w:p w:rsidR="00A521C9" w:rsidRPr="003C4F91" w:rsidRDefault="00A521C9" w:rsidP="00A521C9">
      <w:pPr>
        <w:spacing w:before="720"/>
        <w:jc w:val="center"/>
        <w:rPr>
          <w:rFonts w:cs="Arial"/>
          <w:b/>
          <w:bCs/>
          <w:sz w:val="18"/>
          <w:szCs w:val="18"/>
          <w:vertAlign w:val="superscript"/>
        </w:rPr>
      </w:pPr>
      <w:r w:rsidRPr="003C4F91">
        <w:rPr>
          <w:rFonts w:cs="Arial"/>
          <w:b/>
          <w:bCs/>
          <w:sz w:val="18"/>
          <w:szCs w:val="18"/>
        </w:rPr>
        <w:t xml:space="preserve">Graph 1   Wastewater discharged in the wastewater </w:t>
      </w:r>
      <w:r w:rsidR="003C4F91" w:rsidRPr="003C4F91">
        <w:rPr>
          <w:rFonts w:cs="Arial"/>
          <w:b/>
          <w:bCs/>
          <w:sz w:val="18"/>
          <w:szCs w:val="18"/>
        </w:rPr>
        <w:t>system in</w:t>
      </w:r>
      <w:r w:rsidRPr="003C4F91">
        <w:rPr>
          <w:rFonts w:cs="Arial"/>
          <w:b/>
          <w:bCs/>
          <w:sz w:val="18"/>
          <w:szCs w:val="18"/>
        </w:rPr>
        <w:t xml:space="preserve"> the Republic of Serbia, by origin, mill m</w:t>
      </w:r>
      <w:r w:rsidRPr="003C4F91">
        <w:rPr>
          <w:rFonts w:cs="Arial"/>
          <w:b/>
          <w:bCs/>
          <w:sz w:val="18"/>
          <w:szCs w:val="18"/>
          <w:vertAlign w:val="superscript"/>
        </w:rPr>
        <w:t>3</w:t>
      </w:r>
    </w:p>
    <w:p w:rsidR="002B0DBF" w:rsidRPr="003C4F91" w:rsidRDefault="006D2B31" w:rsidP="002B0DBF">
      <w:pPr>
        <w:spacing w:before="240" w:after="240"/>
        <w:jc w:val="center"/>
        <w:rPr>
          <w:rFonts w:cs="Arial"/>
          <w:b/>
          <w:sz w:val="24"/>
        </w:rPr>
      </w:pPr>
      <w:r>
        <w:rPr>
          <w:noProof/>
          <w:lang w:val="en-US"/>
        </w:rPr>
        <w:drawing>
          <wp:inline distT="0" distB="0" distL="0" distR="0" wp14:anchorId="21A2A9DD" wp14:editId="5EF1A145">
            <wp:extent cx="3960000" cy="252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2B0DBF" w:rsidRDefault="002B0DBF" w:rsidP="002B0DBF">
      <w:pPr>
        <w:jc w:val="center"/>
        <w:rPr>
          <w:rFonts w:cs="Arial"/>
          <w:b/>
        </w:rPr>
      </w:pPr>
    </w:p>
    <w:p w:rsidR="006D2B31" w:rsidRDefault="006D2B31" w:rsidP="002B0DBF">
      <w:pPr>
        <w:jc w:val="center"/>
        <w:rPr>
          <w:rFonts w:cs="Arial"/>
          <w:b/>
        </w:rPr>
      </w:pPr>
    </w:p>
    <w:p w:rsidR="006D2B31" w:rsidRPr="003C4F91" w:rsidRDefault="006D2B31" w:rsidP="002B0DBF">
      <w:pPr>
        <w:jc w:val="center"/>
        <w:rPr>
          <w:rFonts w:cs="Arial"/>
          <w:b/>
        </w:rPr>
      </w:pPr>
    </w:p>
    <w:p w:rsidR="003C5FBB" w:rsidRPr="003C4F91" w:rsidRDefault="003C5FBB" w:rsidP="003C5FBB">
      <w:pPr>
        <w:pStyle w:val="ListParagraph"/>
        <w:numPr>
          <w:ilvl w:val="0"/>
          <w:numId w:val="1"/>
        </w:numPr>
        <w:jc w:val="center"/>
        <w:rPr>
          <w:rFonts w:cs="Arial"/>
          <w:b/>
          <w:szCs w:val="20"/>
        </w:rPr>
      </w:pPr>
      <w:r w:rsidRPr="003C4F91">
        <w:rPr>
          <w:rFonts w:cs="Arial"/>
          <w:b/>
          <w:szCs w:val="20"/>
        </w:rPr>
        <w:lastRenderedPageBreak/>
        <w:t xml:space="preserve">Wastewater discharged into wastewater collecting system </w:t>
      </w:r>
    </w:p>
    <w:p w:rsidR="00A521C9" w:rsidRPr="003C4F91" w:rsidRDefault="00A521C9" w:rsidP="002B0DBF">
      <w:pPr>
        <w:jc w:val="center"/>
        <w:rPr>
          <w:rFonts w:cs="Arial"/>
          <w:b/>
        </w:rPr>
      </w:pPr>
    </w:p>
    <w:p w:rsidR="002B0DBF" w:rsidRPr="003C4F91" w:rsidRDefault="002B0DBF" w:rsidP="002B0DBF">
      <w:pPr>
        <w:rPr>
          <w:rFonts w:cs="Arial"/>
        </w:rPr>
      </w:pPr>
      <w:r w:rsidRPr="003C4F91">
        <w:rPr>
          <w:rFonts w:cs="Arial"/>
        </w:rPr>
        <w:t xml:space="preserve">                                                                                                                                    </w:t>
      </w:r>
      <w:r w:rsidR="006D2B31">
        <w:rPr>
          <w:rFonts w:cs="Arial"/>
        </w:rPr>
        <w:t xml:space="preserve">  </w:t>
      </w:r>
      <w:r w:rsidRPr="003C4F91">
        <w:rPr>
          <w:rFonts w:cs="Arial"/>
        </w:rPr>
        <w:t xml:space="preserve">     </w:t>
      </w:r>
      <w:r w:rsidR="003C5FBB" w:rsidRPr="003C4F91">
        <w:rPr>
          <w:rFonts w:cs="Arial"/>
        </w:rPr>
        <w:t>mill</w:t>
      </w:r>
      <w:r w:rsidRPr="003C4F91">
        <w:rPr>
          <w:rFonts w:cs="Arial"/>
        </w:rPr>
        <w:t>. m</w:t>
      </w:r>
      <w:r w:rsidRPr="003C4F91">
        <w:rPr>
          <w:rFonts w:cs="Arial"/>
          <w:vertAlign w:val="superscript"/>
        </w:rPr>
        <w:t>3</w:t>
      </w:r>
    </w:p>
    <w:tbl>
      <w:tblPr>
        <w:tblW w:w="0" w:type="auto"/>
        <w:jc w:val="center"/>
        <w:tblCellMar>
          <w:left w:w="28" w:type="dxa"/>
          <w:right w:w="28" w:type="dxa"/>
        </w:tblCellMar>
        <w:tblLook w:val="01E0" w:firstRow="1" w:lastRow="1" w:firstColumn="1" w:lastColumn="1" w:noHBand="0" w:noVBand="0"/>
      </w:tblPr>
      <w:tblGrid>
        <w:gridCol w:w="3402"/>
        <w:gridCol w:w="1701"/>
        <w:gridCol w:w="1701"/>
      </w:tblGrid>
      <w:tr w:rsidR="002B0DBF" w:rsidRPr="003C4F91" w:rsidTr="0087354B">
        <w:trPr>
          <w:jc w:val="center"/>
        </w:trPr>
        <w:tc>
          <w:tcPr>
            <w:tcW w:w="3402" w:type="dxa"/>
            <w:tcBorders>
              <w:top w:val="single" w:sz="4" w:space="0" w:color="808080"/>
              <w:bottom w:val="single" w:sz="4" w:space="0" w:color="808080"/>
              <w:right w:val="single" w:sz="4" w:space="0" w:color="808080"/>
            </w:tcBorders>
            <w:shd w:val="clear" w:color="auto" w:fill="auto"/>
            <w:vAlign w:val="center"/>
          </w:tcPr>
          <w:p w:rsidR="002B0DBF" w:rsidRPr="003C4F91" w:rsidRDefault="002B0DBF" w:rsidP="00684AB8">
            <w:pPr>
              <w:spacing w:before="120" w:after="120" w:line="264" w:lineRule="auto"/>
              <w:rPr>
                <w:rFonts w:cs="Arial"/>
                <w:sz w:val="18"/>
                <w:szCs w:val="18"/>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0DBF" w:rsidRPr="003C4F91" w:rsidRDefault="002B0DBF" w:rsidP="00684AB8">
            <w:pPr>
              <w:spacing w:before="120" w:after="120" w:line="264" w:lineRule="auto"/>
              <w:jc w:val="center"/>
              <w:rPr>
                <w:rFonts w:cs="Arial"/>
                <w:sz w:val="18"/>
                <w:szCs w:val="18"/>
              </w:rPr>
            </w:pPr>
            <w:r w:rsidRPr="003C4F91">
              <w:rPr>
                <w:rFonts w:cs="Arial"/>
                <w:sz w:val="18"/>
                <w:szCs w:val="18"/>
              </w:rPr>
              <w:t>2016</w:t>
            </w:r>
          </w:p>
        </w:tc>
        <w:tc>
          <w:tcPr>
            <w:tcW w:w="1701" w:type="dxa"/>
            <w:tcBorders>
              <w:top w:val="single" w:sz="4" w:space="0" w:color="808080"/>
              <w:left w:val="single" w:sz="4" w:space="0" w:color="808080"/>
              <w:bottom w:val="single" w:sz="4" w:space="0" w:color="808080"/>
            </w:tcBorders>
            <w:shd w:val="clear" w:color="auto" w:fill="auto"/>
            <w:vAlign w:val="center"/>
          </w:tcPr>
          <w:p w:rsidR="002B0DBF" w:rsidRPr="003C4F91" w:rsidRDefault="002B0DBF" w:rsidP="00684AB8">
            <w:pPr>
              <w:spacing w:before="120" w:after="120" w:line="264" w:lineRule="auto"/>
              <w:jc w:val="center"/>
              <w:rPr>
                <w:rFonts w:cs="Arial"/>
                <w:sz w:val="18"/>
                <w:szCs w:val="18"/>
              </w:rPr>
            </w:pPr>
            <w:r w:rsidRPr="003C4F91">
              <w:rPr>
                <w:rFonts w:cs="Arial"/>
                <w:sz w:val="18"/>
                <w:szCs w:val="18"/>
              </w:rPr>
              <w:t>2017</w:t>
            </w:r>
          </w:p>
        </w:tc>
      </w:tr>
      <w:tr w:rsidR="002B0DBF" w:rsidRPr="003C4F91" w:rsidTr="0087354B">
        <w:trPr>
          <w:jc w:val="center"/>
        </w:trPr>
        <w:tc>
          <w:tcPr>
            <w:tcW w:w="3402" w:type="dxa"/>
            <w:tcBorders>
              <w:top w:val="single" w:sz="4" w:space="0" w:color="808080"/>
              <w:right w:val="single" w:sz="4" w:space="0" w:color="808080"/>
            </w:tcBorders>
            <w:shd w:val="clear" w:color="auto" w:fill="auto"/>
            <w:vAlign w:val="bottom"/>
          </w:tcPr>
          <w:p w:rsidR="002B0DBF" w:rsidRPr="003C4F91" w:rsidRDefault="002B0DBF" w:rsidP="00684AB8">
            <w:pPr>
              <w:spacing w:before="60" w:line="264" w:lineRule="auto"/>
              <w:contextualSpacing/>
              <w:rPr>
                <w:rFonts w:cs="Arial"/>
                <w:sz w:val="18"/>
                <w:szCs w:val="18"/>
              </w:rPr>
            </w:pPr>
          </w:p>
        </w:tc>
        <w:tc>
          <w:tcPr>
            <w:tcW w:w="1701" w:type="dxa"/>
            <w:tcBorders>
              <w:top w:val="single" w:sz="4" w:space="0" w:color="808080"/>
              <w:left w:val="single" w:sz="4" w:space="0" w:color="808080"/>
            </w:tcBorders>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p>
        </w:tc>
        <w:tc>
          <w:tcPr>
            <w:tcW w:w="1701" w:type="dxa"/>
            <w:tcBorders>
              <w:top w:val="single" w:sz="4" w:space="0" w:color="808080"/>
            </w:tcBorders>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p>
        </w:tc>
      </w:tr>
      <w:tr w:rsidR="002B0DBF" w:rsidRPr="003C4F91" w:rsidTr="0087354B">
        <w:trPr>
          <w:jc w:val="center"/>
        </w:trPr>
        <w:tc>
          <w:tcPr>
            <w:tcW w:w="3402" w:type="dxa"/>
            <w:tcBorders>
              <w:right w:val="single" w:sz="4" w:space="0" w:color="808080"/>
            </w:tcBorders>
            <w:shd w:val="clear" w:color="auto" w:fill="auto"/>
            <w:vAlign w:val="bottom"/>
          </w:tcPr>
          <w:p w:rsidR="002B0DBF" w:rsidRPr="003C4F91" w:rsidRDefault="003C5FBB" w:rsidP="003C5FBB">
            <w:pPr>
              <w:spacing w:before="60" w:line="264" w:lineRule="auto"/>
              <w:contextualSpacing/>
              <w:rPr>
                <w:rFonts w:cs="Arial"/>
                <w:bCs/>
                <w:sz w:val="18"/>
                <w:szCs w:val="18"/>
              </w:rPr>
            </w:pPr>
            <w:r w:rsidRPr="003C4F91">
              <w:t xml:space="preserve">Wastewater – total </w:t>
            </w:r>
          </w:p>
        </w:tc>
        <w:tc>
          <w:tcPr>
            <w:tcW w:w="1701" w:type="dxa"/>
            <w:tcBorders>
              <w:left w:val="single" w:sz="4" w:space="0" w:color="808080"/>
            </w:tcBorders>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r w:rsidRPr="003C4F91">
              <w:rPr>
                <w:rFonts w:cs="Arial"/>
                <w:sz w:val="18"/>
                <w:szCs w:val="18"/>
              </w:rPr>
              <w:t>283</w:t>
            </w:r>
          </w:p>
        </w:tc>
        <w:tc>
          <w:tcPr>
            <w:tcW w:w="1701" w:type="dxa"/>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r w:rsidRPr="003C4F91">
              <w:rPr>
                <w:rFonts w:cs="Arial"/>
                <w:sz w:val="18"/>
                <w:szCs w:val="18"/>
              </w:rPr>
              <w:t>294</w:t>
            </w:r>
          </w:p>
        </w:tc>
      </w:tr>
      <w:tr w:rsidR="002B0DBF" w:rsidRPr="003C4F91" w:rsidTr="0087354B">
        <w:trPr>
          <w:jc w:val="center"/>
        </w:trPr>
        <w:tc>
          <w:tcPr>
            <w:tcW w:w="3402" w:type="dxa"/>
            <w:tcBorders>
              <w:right w:val="single" w:sz="4" w:space="0" w:color="808080"/>
            </w:tcBorders>
            <w:shd w:val="clear" w:color="auto" w:fill="auto"/>
            <w:vAlign w:val="bottom"/>
          </w:tcPr>
          <w:p w:rsidR="002B0DBF" w:rsidRPr="003C4F91" w:rsidRDefault="003C5FBB" w:rsidP="003C5FBB">
            <w:pPr>
              <w:spacing w:before="60" w:line="264" w:lineRule="auto"/>
              <w:contextualSpacing/>
              <w:rPr>
                <w:rFonts w:cs="Arial"/>
                <w:bCs/>
                <w:sz w:val="18"/>
                <w:szCs w:val="18"/>
              </w:rPr>
            </w:pPr>
            <w:r w:rsidRPr="003C4F91">
              <w:rPr>
                <w:rFonts w:cs="Arial"/>
                <w:bCs/>
                <w:sz w:val="18"/>
                <w:szCs w:val="18"/>
              </w:rPr>
              <w:t xml:space="preserve">Treated wastewater </w:t>
            </w:r>
            <w:r w:rsidR="002B0DBF" w:rsidRPr="003C4F91">
              <w:rPr>
                <w:rFonts w:cs="Arial"/>
                <w:bCs/>
                <w:caps/>
                <w:sz w:val="18"/>
                <w:szCs w:val="18"/>
                <w:vertAlign w:val="superscript"/>
              </w:rPr>
              <w:t xml:space="preserve"> </w:t>
            </w:r>
          </w:p>
        </w:tc>
        <w:tc>
          <w:tcPr>
            <w:tcW w:w="1701" w:type="dxa"/>
            <w:tcBorders>
              <w:left w:val="single" w:sz="4" w:space="0" w:color="808080"/>
            </w:tcBorders>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r w:rsidRPr="003C4F91">
              <w:rPr>
                <w:rFonts w:cs="Arial"/>
                <w:sz w:val="18"/>
                <w:szCs w:val="18"/>
              </w:rPr>
              <w:t>47</w:t>
            </w:r>
          </w:p>
        </w:tc>
        <w:tc>
          <w:tcPr>
            <w:tcW w:w="1701" w:type="dxa"/>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r w:rsidRPr="003C4F91">
              <w:rPr>
                <w:rFonts w:cs="Arial"/>
                <w:sz w:val="18"/>
                <w:szCs w:val="18"/>
              </w:rPr>
              <w:t xml:space="preserve">49 </w:t>
            </w:r>
          </w:p>
        </w:tc>
      </w:tr>
      <w:tr w:rsidR="003C5FBB" w:rsidRPr="003C4F91" w:rsidTr="0087354B">
        <w:trPr>
          <w:jc w:val="center"/>
        </w:trPr>
        <w:tc>
          <w:tcPr>
            <w:tcW w:w="3402" w:type="dxa"/>
            <w:tcBorders>
              <w:right w:val="single" w:sz="4" w:space="0" w:color="808080"/>
            </w:tcBorders>
            <w:shd w:val="clear" w:color="auto" w:fill="auto"/>
            <w:vAlign w:val="bottom"/>
          </w:tcPr>
          <w:p w:rsidR="003C5FBB" w:rsidRPr="003C4F91" w:rsidRDefault="003C5FBB" w:rsidP="00FC3EB0">
            <w:pPr>
              <w:spacing w:before="60" w:line="264" w:lineRule="auto"/>
              <w:contextualSpacing/>
              <w:rPr>
                <w:rFonts w:cs="Arial"/>
                <w:sz w:val="18"/>
                <w:szCs w:val="18"/>
              </w:rPr>
            </w:pPr>
            <w:r w:rsidRPr="003C4F91">
              <w:rPr>
                <w:rFonts w:cs="Arial"/>
                <w:sz w:val="18"/>
                <w:szCs w:val="18"/>
              </w:rPr>
              <w:t xml:space="preserve">   Primary treatment</w:t>
            </w:r>
          </w:p>
        </w:tc>
        <w:tc>
          <w:tcPr>
            <w:tcW w:w="1701" w:type="dxa"/>
            <w:tcBorders>
              <w:left w:val="single" w:sz="4" w:space="0" w:color="808080"/>
            </w:tcBorders>
            <w:shd w:val="clear" w:color="auto" w:fill="auto"/>
            <w:vAlign w:val="bottom"/>
          </w:tcPr>
          <w:p w:rsidR="003C5FBB" w:rsidRPr="003C4F91" w:rsidRDefault="003C5FBB" w:rsidP="00684AB8">
            <w:pPr>
              <w:spacing w:before="60" w:line="264" w:lineRule="auto"/>
              <w:ind w:right="284"/>
              <w:contextualSpacing/>
              <w:jc w:val="right"/>
              <w:rPr>
                <w:rFonts w:cs="Arial"/>
                <w:sz w:val="18"/>
                <w:szCs w:val="18"/>
              </w:rPr>
            </w:pPr>
            <w:r w:rsidRPr="003C4F91">
              <w:rPr>
                <w:rFonts w:cs="Arial"/>
                <w:sz w:val="18"/>
                <w:szCs w:val="18"/>
              </w:rPr>
              <w:t>5</w:t>
            </w:r>
          </w:p>
        </w:tc>
        <w:tc>
          <w:tcPr>
            <w:tcW w:w="1701" w:type="dxa"/>
            <w:shd w:val="clear" w:color="auto" w:fill="auto"/>
            <w:vAlign w:val="bottom"/>
          </w:tcPr>
          <w:p w:rsidR="003C5FBB" w:rsidRPr="003C4F91" w:rsidRDefault="003C5FBB" w:rsidP="00684AB8">
            <w:pPr>
              <w:spacing w:before="60" w:line="264" w:lineRule="auto"/>
              <w:ind w:right="284"/>
              <w:contextualSpacing/>
              <w:jc w:val="right"/>
              <w:rPr>
                <w:rFonts w:cs="Arial"/>
                <w:sz w:val="18"/>
                <w:szCs w:val="18"/>
              </w:rPr>
            </w:pPr>
            <w:r w:rsidRPr="003C4F91">
              <w:rPr>
                <w:rFonts w:cs="Arial"/>
                <w:sz w:val="18"/>
                <w:szCs w:val="18"/>
              </w:rPr>
              <w:t>5</w:t>
            </w:r>
          </w:p>
        </w:tc>
      </w:tr>
      <w:tr w:rsidR="003C5FBB" w:rsidRPr="003C4F91" w:rsidTr="0087354B">
        <w:trPr>
          <w:jc w:val="center"/>
        </w:trPr>
        <w:tc>
          <w:tcPr>
            <w:tcW w:w="3402" w:type="dxa"/>
            <w:tcBorders>
              <w:right w:val="single" w:sz="4" w:space="0" w:color="808080"/>
            </w:tcBorders>
            <w:shd w:val="clear" w:color="auto" w:fill="auto"/>
            <w:vAlign w:val="bottom"/>
          </w:tcPr>
          <w:p w:rsidR="003C5FBB" w:rsidRPr="003C4F91" w:rsidRDefault="003C5FBB" w:rsidP="00FC3EB0">
            <w:pPr>
              <w:spacing w:before="60" w:line="264" w:lineRule="auto"/>
              <w:contextualSpacing/>
              <w:rPr>
                <w:rFonts w:cs="Arial"/>
                <w:sz w:val="18"/>
                <w:szCs w:val="18"/>
              </w:rPr>
            </w:pPr>
            <w:r w:rsidRPr="003C4F91">
              <w:rPr>
                <w:rFonts w:cs="Arial"/>
                <w:sz w:val="18"/>
                <w:szCs w:val="18"/>
              </w:rPr>
              <w:t xml:space="preserve">   Secondary treatment</w:t>
            </w:r>
          </w:p>
        </w:tc>
        <w:tc>
          <w:tcPr>
            <w:tcW w:w="1701" w:type="dxa"/>
            <w:tcBorders>
              <w:left w:val="single" w:sz="4" w:space="0" w:color="808080"/>
            </w:tcBorders>
            <w:shd w:val="clear" w:color="auto" w:fill="auto"/>
            <w:vAlign w:val="bottom"/>
          </w:tcPr>
          <w:p w:rsidR="003C5FBB" w:rsidRPr="003C4F91" w:rsidRDefault="003C5FBB" w:rsidP="00684AB8">
            <w:pPr>
              <w:spacing w:before="60" w:line="264" w:lineRule="auto"/>
              <w:ind w:right="284"/>
              <w:contextualSpacing/>
              <w:jc w:val="right"/>
              <w:rPr>
                <w:rFonts w:cs="Arial"/>
                <w:sz w:val="18"/>
                <w:szCs w:val="18"/>
              </w:rPr>
            </w:pPr>
            <w:r w:rsidRPr="003C4F91">
              <w:rPr>
                <w:rFonts w:cs="Arial"/>
                <w:sz w:val="18"/>
                <w:szCs w:val="18"/>
              </w:rPr>
              <w:t>33</w:t>
            </w:r>
          </w:p>
        </w:tc>
        <w:tc>
          <w:tcPr>
            <w:tcW w:w="1701" w:type="dxa"/>
            <w:shd w:val="clear" w:color="auto" w:fill="auto"/>
            <w:vAlign w:val="bottom"/>
          </w:tcPr>
          <w:p w:rsidR="003C5FBB" w:rsidRPr="003C4F91" w:rsidRDefault="003C5FBB" w:rsidP="00684AB8">
            <w:pPr>
              <w:spacing w:before="60" w:line="264" w:lineRule="auto"/>
              <w:ind w:right="284"/>
              <w:contextualSpacing/>
              <w:jc w:val="right"/>
              <w:rPr>
                <w:rFonts w:cs="Arial"/>
                <w:sz w:val="18"/>
                <w:szCs w:val="18"/>
              </w:rPr>
            </w:pPr>
            <w:r w:rsidRPr="003C4F91">
              <w:rPr>
                <w:rFonts w:cs="Arial"/>
                <w:sz w:val="18"/>
                <w:szCs w:val="18"/>
              </w:rPr>
              <w:t>35</w:t>
            </w:r>
          </w:p>
        </w:tc>
      </w:tr>
      <w:tr w:rsidR="003C5FBB" w:rsidRPr="003C4F91" w:rsidTr="0087354B">
        <w:trPr>
          <w:jc w:val="center"/>
        </w:trPr>
        <w:tc>
          <w:tcPr>
            <w:tcW w:w="3402" w:type="dxa"/>
            <w:tcBorders>
              <w:right w:val="single" w:sz="4" w:space="0" w:color="808080"/>
            </w:tcBorders>
            <w:shd w:val="clear" w:color="auto" w:fill="auto"/>
            <w:vAlign w:val="bottom"/>
          </w:tcPr>
          <w:p w:rsidR="003C5FBB" w:rsidRPr="003C4F91" w:rsidRDefault="003C5FBB" w:rsidP="00FC3EB0">
            <w:pPr>
              <w:spacing w:before="60" w:line="264" w:lineRule="auto"/>
              <w:contextualSpacing/>
              <w:rPr>
                <w:rFonts w:cs="Arial"/>
                <w:sz w:val="18"/>
                <w:szCs w:val="18"/>
              </w:rPr>
            </w:pPr>
            <w:r w:rsidRPr="003C4F91">
              <w:rPr>
                <w:rFonts w:cs="Arial"/>
                <w:sz w:val="18"/>
                <w:szCs w:val="18"/>
              </w:rPr>
              <w:t xml:space="preserve">   Tertiary treatment </w:t>
            </w:r>
          </w:p>
        </w:tc>
        <w:tc>
          <w:tcPr>
            <w:tcW w:w="1701" w:type="dxa"/>
            <w:tcBorders>
              <w:left w:val="single" w:sz="4" w:space="0" w:color="808080"/>
            </w:tcBorders>
            <w:shd w:val="clear" w:color="auto" w:fill="auto"/>
            <w:vAlign w:val="bottom"/>
          </w:tcPr>
          <w:p w:rsidR="003C5FBB" w:rsidRPr="003C4F91" w:rsidRDefault="003C5FBB" w:rsidP="00684AB8">
            <w:pPr>
              <w:spacing w:before="60" w:line="264" w:lineRule="auto"/>
              <w:ind w:right="284"/>
              <w:contextualSpacing/>
              <w:jc w:val="right"/>
              <w:rPr>
                <w:rFonts w:cs="Arial"/>
                <w:sz w:val="18"/>
                <w:szCs w:val="18"/>
              </w:rPr>
            </w:pPr>
            <w:r w:rsidRPr="003C4F91">
              <w:rPr>
                <w:rFonts w:cs="Arial"/>
                <w:sz w:val="18"/>
                <w:szCs w:val="18"/>
              </w:rPr>
              <w:t>9</w:t>
            </w:r>
          </w:p>
        </w:tc>
        <w:tc>
          <w:tcPr>
            <w:tcW w:w="1701" w:type="dxa"/>
            <w:shd w:val="clear" w:color="auto" w:fill="auto"/>
            <w:vAlign w:val="bottom"/>
          </w:tcPr>
          <w:p w:rsidR="003C5FBB" w:rsidRPr="003C4F91" w:rsidRDefault="003C5FBB" w:rsidP="00684AB8">
            <w:pPr>
              <w:spacing w:before="60" w:line="264" w:lineRule="auto"/>
              <w:ind w:right="284"/>
              <w:contextualSpacing/>
              <w:jc w:val="right"/>
              <w:rPr>
                <w:rFonts w:cs="Arial"/>
                <w:sz w:val="18"/>
                <w:szCs w:val="18"/>
              </w:rPr>
            </w:pPr>
            <w:r w:rsidRPr="003C4F91">
              <w:rPr>
                <w:rFonts w:cs="Arial"/>
                <w:sz w:val="18"/>
                <w:szCs w:val="18"/>
              </w:rPr>
              <w:t>9</w:t>
            </w:r>
          </w:p>
        </w:tc>
      </w:tr>
      <w:tr w:rsidR="002B0DBF" w:rsidRPr="003C4F91" w:rsidTr="0087354B">
        <w:trPr>
          <w:jc w:val="center"/>
        </w:trPr>
        <w:tc>
          <w:tcPr>
            <w:tcW w:w="3402" w:type="dxa"/>
            <w:tcBorders>
              <w:right w:val="single" w:sz="4" w:space="0" w:color="808080"/>
            </w:tcBorders>
            <w:shd w:val="clear" w:color="auto" w:fill="auto"/>
            <w:vAlign w:val="bottom"/>
          </w:tcPr>
          <w:p w:rsidR="002B0DBF" w:rsidRPr="003C4F91" w:rsidRDefault="002B0DBF" w:rsidP="003C5FBB">
            <w:pPr>
              <w:spacing w:before="60" w:line="264" w:lineRule="auto"/>
              <w:contextualSpacing/>
              <w:jc w:val="both"/>
              <w:rPr>
                <w:rFonts w:cs="Arial"/>
                <w:sz w:val="18"/>
                <w:szCs w:val="18"/>
                <w:vertAlign w:val="superscript"/>
              </w:rPr>
            </w:pPr>
            <w:r w:rsidRPr="003C4F91">
              <w:rPr>
                <w:rFonts w:cs="Arial"/>
                <w:sz w:val="18"/>
                <w:szCs w:val="18"/>
              </w:rPr>
              <w:t xml:space="preserve"> </w:t>
            </w:r>
            <w:r w:rsidR="003C5FBB" w:rsidRPr="003C4F91">
              <w:rPr>
                <w:rFonts w:cs="Arial"/>
                <w:sz w:val="18"/>
                <w:szCs w:val="18"/>
              </w:rPr>
              <w:t xml:space="preserve">Untreated wastewater </w:t>
            </w:r>
          </w:p>
        </w:tc>
        <w:tc>
          <w:tcPr>
            <w:tcW w:w="1701" w:type="dxa"/>
            <w:tcBorders>
              <w:left w:val="single" w:sz="4" w:space="0" w:color="808080"/>
            </w:tcBorders>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r w:rsidRPr="003C4F91">
              <w:rPr>
                <w:rFonts w:cs="Arial"/>
                <w:sz w:val="18"/>
                <w:szCs w:val="18"/>
              </w:rPr>
              <w:t>236</w:t>
            </w:r>
          </w:p>
        </w:tc>
        <w:tc>
          <w:tcPr>
            <w:tcW w:w="1701" w:type="dxa"/>
            <w:shd w:val="clear" w:color="auto" w:fill="auto"/>
            <w:vAlign w:val="bottom"/>
          </w:tcPr>
          <w:p w:rsidR="002B0DBF" w:rsidRPr="003C4F91" w:rsidRDefault="002B0DBF" w:rsidP="00684AB8">
            <w:pPr>
              <w:spacing w:before="60" w:line="264" w:lineRule="auto"/>
              <w:ind w:right="284"/>
              <w:contextualSpacing/>
              <w:jc w:val="right"/>
              <w:rPr>
                <w:rFonts w:cs="Arial"/>
                <w:sz w:val="18"/>
                <w:szCs w:val="18"/>
              </w:rPr>
            </w:pPr>
            <w:r w:rsidRPr="003C4F91">
              <w:rPr>
                <w:rFonts w:cs="Arial"/>
                <w:sz w:val="18"/>
                <w:szCs w:val="18"/>
              </w:rPr>
              <w:t>245</w:t>
            </w:r>
          </w:p>
        </w:tc>
      </w:tr>
    </w:tbl>
    <w:p w:rsidR="002B0DBF" w:rsidRPr="003C4F91" w:rsidRDefault="002B0DBF" w:rsidP="002B0DBF">
      <w:pPr>
        <w:spacing w:before="240"/>
        <w:ind w:firstLine="397"/>
        <w:jc w:val="both"/>
        <w:rPr>
          <w:rFonts w:cs="Arial"/>
          <w:bCs/>
        </w:rPr>
      </w:pPr>
    </w:p>
    <w:p w:rsidR="002B0DBF" w:rsidRPr="003C4F91" w:rsidRDefault="002B0DBF" w:rsidP="002B0DBF">
      <w:pPr>
        <w:spacing w:before="240"/>
        <w:ind w:firstLine="397"/>
        <w:jc w:val="both"/>
        <w:rPr>
          <w:rFonts w:cs="Arial"/>
          <w:bCs/>
        </w:rPr>
      </w:pPr>
    </w:p>
    <w:p w:rsidR="003C5FBB" w:rsidRPr="003C4F91" w:rsidRDefault="003C5FBB" w:rsidP="003C5FBB">
      <w:pPr>
        <w:spacing w:before="240" w:after="120"/>
        <w:ind w:firstLine="397"/>
        <w:jc w:val="both"/>
        <w:rPr>
          <w:rFonts w:cs="Arial"/>
          <w:bCs/>
        </w:rPr>
      </w:pPr>
      <w:r w:rsidRPr="003C4F91">
        <w:rPr>
          <w:rFonts w:cs="Arial"/>
          <w:bCs/>
        </w:rPr>
        <w:t xml:space="preserve">Methodological explanations on wastewater discharged from settlements can be found on the website of the Statistical Office of the Republic of Serbia: </w:t>
      </w:r>
      <w:hyperlink r:id="rId9" w:history="1">
        <w:r w:rsidRPr="003C4F91">
          <w:rPr>
            <w:rStyle w:val="Hyperlink"/>
            <w:rFonts w:cs="Arial"/>
            <w:bCs/>
          </w:rPr>
          <w:t>http://www.stat.gov.rs/sr-latn/istrazivanja/methodology-and-documents/?a=25&amp;s=2501</w:t>
        </w:r>
      </w:hyperlink>
      <w:r w:rsidRPr="003C4F91">
        <w:rPr>
          <w:rFonts w:cs="Arial"/>
          <w:bCs/>
        </w:rPr>
        <w:t>.</w:t>
      </w:r>
      <w:r w:rsidRPr="003C4F91">
        <w:t xml:space="preserve"> </w:t>
      </w:r>
    </w:p>
    <w:p w:rsidR="003C5FBB" w:rsidRPr="003C4F91" w:rsidRDefault="003C5FBB" w:rsidP="003C5FBB">
      <w:pPr>
        <w:spacing w:before="240"/>
        <w:ind w:firstLine="397"/>
        <w:jc w:val="both"/>
        <w:rPr>
          <w:rFonts w:cs="Arial"/>
          <w:bCs/>
        </w:rPr>
      </w:pPr>
      <w:r w:rsidRPr="003C4F91">
        <w:rPr>
          <w:rFonts w:cs="Arial"/>
          <w:bCs/>
        </w:rPr>
        <w:t>Data series on wastewater discharged from settlements from the reference year</w:t>
      </w:r>
      <w:r w:rsidRPr="003C4F91">
        <w:rPr>
          <w:rFonts w:cs="Arial"/>
          <w:bCs/>
          <w:color w:val="FF0000"/>
        </w:rPr>
        <w:t xml:space="preserve"> </w:t>
      </w:r>
      <w:r w:rsidRPr="003C4F91">
        <w:rPr>
          <w:rFonts w:cs="Arial"/>
          <w:bCs/>
        </w:rPr>
        <w:t xml:space="preserve">2007 are available within the SORS database: </w:t>
      </w:r>
      <w:hyperlink r:id="rId10" w:history="1">
        <w:r w:rsidRPr="003C4F91">
          <w:rPr>
            <w:rStyle w:val="Hyperlink"/>
            <w:rFonts w:cs="Arial"/>
            <w:bCs/>
          </w:rPr>
          <w:t>http://data.stat.gov.rs/?caller=2501&amp;languageCode=sr-Latn</w:t>
        </w:r>
      </w:hyperlink>
      <w:r w:rsidRPr="003C4F91">
        <w:rPr>
          <w:rFonts w:cs="Arial"/>
          <w:bCs/>
        </w:rPr>
        <w:t xml:space="preserve">, and as a part of the SORS publications: </w:t>
      </w:r>
      <w:hyperlink r:id="rId11" w:history="1">
        <w:r w:rsidRPr="003C4F91">
          <w:rPr>
            <w:rStyle w:val="Hyperlink"/>
            <w:rFonts w:cs="Arial"/>
            <w:bCs/>
          </w:rPr>
          <w:t>http://www.stat.gov.rs/sr-latn/oblasti/zivotna-sredina/</w:t>
        </w:r>
      </w:hyperlink>
      <w:r w:rsidRPr="003C4F91">
        <w:rPr>
          <w:rFonts w:cs="Arial"/>
          <w:bCs/>
        </w:rPr>
        <w:t>.</w:t>
      </w:r>
    </w:p>
    <w:p w:rsidR="003C5FBB" w:rsidRPr="003C4F91" w:rsidRDefault="003C5FBB" w:rsidP="003C5FBB">
      <w:pPr>
        <w:ind w:firstLine="397"/>
      </w:pPr>
    </w:p>
    <w:p w:rsidR="003C5FBB" w:rsidRPr="003C4F91" w:rsidRDefault="003C5FBB" w:rsidP="003C5FBB">
      <w:pPr>
        <w:spacing w:before="120" w:after="120"/>
        <w:ind w:firstLine="397"/>
        <w:jc w:val="both"/>
        <w:rPr>
          <w:rStyle w:val="hpsalt-edited"/>
        </w:rPr>
      </w:pPr>
      <w:r w:rsidRPr="003C4F91">
        <w:rPr>
          <w:rStyle w:val="hpsalt-edited"/>
          <w:rFonts w:cs="Arial"/>
          <w:szCs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B0DBF" w:rsidRPr="003C4F91" w:rsidRDefault="002B0DBF" w:rsidP="002B0DBF">
      <w:pPr>
        <w:rPr>
          <w:rFonts w:cs="Arial"/>
        </w:rPr>
      </w:pPr>
    </w:p>
    <w:p w:rsidR="002B0DBF" w:rsidRPr="003C4F91" w:rsidRDefault="002B0DBF" w:rsidP="002B0DBF">
      <w:pPr>
        <w:rPr>
          <w:rFonts w:cs="Arial"/>
        </w:rPr>
      </w:pPr>
    </w:p>
    <w:p w:rsidR="002B0DBF" w:rsidRPr="003C4F91" w:rsidRDefault="002B0DBF" w:rsidP="002B0DBF">
      <w:pPr>
        <w:rPr>
          <w:rFonts w:cs="Arial"/>
        </w:rPr>
      </w:pPr>
    </w:p>
    <w:p w:rsidR="002B0DBF" w:rsidRPr="003C4F91" w:rsidRDefault="002B0DBF" w:rsidP="002B0DBF">
      <w:pPr>
        <w:rPr>
          <w:rFonts w:cs="Arial"/>
        </w:rPr>
      </w:pPr>
    </w:p>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Default="002B0DBF" w:rsidP="002B0DBF"/>
    <w:p w:rsidR="006D2B31" w:rsidRPr="003C4F91" w:rsidRDefault="006D2B31"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p w:rsidR="002B0DBF" w:rsidRPr="003C4F91" w:rsidRDefault="002B0DBF" w:rsidP="002B0DBF"/>
    <w:tbl>
      <w:tblPr>
        <w:tblpPr w:leftFromText="180" w:rightFromText="180" w:vertAnchor="text" w:horzAnchor="margin" w:tblpY="44"/>
        <w:tblW w:w="0" w:type="auto"/>
        <w:tblBorders>
          <w:bottom w:val="single" w:sz="4" w:space="0" w:color="808080"/>
        </w:tblBorders>
        <w:tblCellMar>
          <w:left w:w="28" w:type="dxa"/>
          <w:right w:w="28" w:type="dxa"/>
        </w:tblCellMar>
        <w:tblLook w:val="01E0" w:firstRow="1" w:lastRow="1" w:firstColumn="1" w:lastColumn="1" w:noHBand="0" w:noVBand="0"/>
      </w:tblPr>
      <w:tblGrid>
        <w:gridCol w:w="9639"/>
      </w:tblGrid>
      <w:tr w:rsidR="002B0DBF" w:rsidRPr="003C4F91" w:rsidTr="00684AB8">
        <w:tc>
          <w:tcPr>
            <w:tcW w:w="9639" w:type="dxa"/>
            <w:tcBorders>
              <w:bottom w:val="single" w:sz="4" w:space="0" w:color="808080"/>
            </w:tcBorders>
          </w:tcPr>
          <w:p w:rsidR="002B0DBF" w:rsidRPr="003C4F91" w:rsidRDefault="002B0DBF" w:rsidP="00684AB8">
            <w:pPr>
              <w:jc w:val="both"/>
              <w:rPr>
                <w:rFonts w:cs="Arial"/>
                <w:sz w:val="2"/>
                <w:szCs w:val="2"/>
              </w:rPr>
            </w:pPr>
          </w:p>
        </w:tc>
      </w:tr>
    </w:tbl>
    <w:p w:rsidR="002B0DBF" w:rsidRPr="003C4F91" w:rsidRDefault="002B0DBF" w:rsidP="002B0DBF"/>
    <w:p w:rsidR="002B0DBF" w:rsidRPr="003C4F91" w:rsidRDefault="003C5FBB" w:rsidP="002B0DBF">
      <w:pPr>
        <w:spacing w:line="276" w:lineRule="auto"/>
        <w:jc w:val="center"/>
        <w:rPr>
          <w:rFonts w:cs="Arial"/>
          <w:sz w:val="18"/>
          <w:szCs w:val="18"/>
        </w:rPr>
      </w:pPr>
      <w:r w:rsidRPr="003C4F91">
        <w:rPr>
          <w:rFonts w:cs="Arial"/>
          <w:b/>
          <w:bCs/>
          <w:iCs/>
          <w:sz w:val="18"/>
          <w:szCs w:val="18"/>
        </w:rPr>
        <w:t>Contact</w:t>
      </w:r>
      <w:r w:rsidRPr="003C4F91">
        <w:rPr>
          <w:rFonts w:cs="Arial"/>
          <w:bCs/>
          <w:iCs/>
          <w:sz w:val="18"/>
          <w:szCs w:val="18"/>
        </w:rPr>
        <w:t xml:space="preserve">: </w:t>
      </w:r>
      <w:hyperlink r:id="rId12" w:history="1">
        <w:r w:rsidRPr="003C4F91">
          <w:rPr>
            <w:rStyle w:val="Hyperlink"/>
            <w:rFonts w:cs="Arial"/>
            <w:bCs/>
            <w:iCs/>
            <w:sz w:val="18"/>
            <w:szCs w:val="18"/>
          </w:rPr>
          <w:t>neda.cukavac@stat.gov.rs</w:t>
        </w:r>
      </w:hyperlink>
      <w:r w:rsidR="002B0DBF" w:rsidRPr="003C4F91">
        <w:rPr>
          <w:rFonts w:cs="Arial"/>
          <w:bCs/>
          <w:sz w:val="18"/>
          <w:szCs w:val="18"/>
        </w:rPr>
        <w:t xml:space="preserve">, </w:t>
      </w:r>
      <w:r w:rsidRPr="003C4F91">
        <w:rPr>
          <w:rFonts w:cs="Arial"/>
          <w:bCs/>
          <w:iCs/>
          <w:sz w:val="18"/>
          <w:szCs w:val="18"/>
        </w:rPr>
        <w:t>phone: 011/3290242</w:t>
      </w:r>
    </w:p>
    <w:p w:rsidR="003C5FBB" w:rsidRPr="003C4F91" w:rsidRDefault="003C5FBB" w:rsidP="003C5FBB">
      <w:pPr>
        <w:ind w:left="198" w:right="28"/>
        <w:jc w:val="center"/>
        <w:rPr>
          <w:rFonts w:cs="Arial"/>
          <w:bCs/>
          <w:iCs/>
          <w:sz w:val="18"/>
          <w:szCs w:val="18"/>
        </w:rPr>
      </w:pPr>
      <w:r w:rsidRPr="003C4F91">
        <w:rPr>
          <w:rFonts w:cs="Arial"/>
          <w:bCs/>
          <w:iCs/>
          <w:sz w:val="18"/>
          <w:szCs w:val="18"/>
        </w:rPr>
        <w:t xml:space="preserve">Published and printed by: Statistical Office of the Republic of Serbia, Milana Rakica 5, Belgrade </w:t>
      </w:r>
    </w:p>
    <w:p w:rsidR="003C5FBB" w:rsidRPr="003C4F91" w:rsidRDefault="003C5FBB" w:rsidP="003C5FBB">
      <w:pPr>
        <w:ind w:left="198" w:right="29"/>
        <w:jc w:val="center"/>
        <w:rPr>
          <w:rFonts w:cs="Arial"/>
          <w:bCs/>
          <w:iCs/>
          <w:sz w:val="18"/>
          <w:szCs w:val="18"/>
        </w:rPr>
      </w:pPr>
      <w:r w:rsidRPr="003C4F91">
        <w:rPr>
          <w:rFonts w:cs="Arial"/>
          <w:bCs/>
          <w:iCs/>
          <w:sz w:val="18"/>
          <w:szCs w:val="18"/>
        </w:rPr>
        <w:t xml:space="preserve">Phone: +381 11 2412922 ● Fax: +381 11 2411260 ● www.stat.gov.rs </w:t>
      </w:r>
    </w:p>
    <w:p w:rsidR="003C5FBB" w:rsidRPr="003C4F91" w:rsidRDefault="003C5FBB" w:rsidP="003C5FBB">
      <w:pPr>
        <w:ind w:left="198" w:right="29"/>
        <w:jc w:val="center"/>
        <w:rPr>
          <w:rFonts w:cs="Arial"/>
          <w:iCs/>
          <w:sz w:val="18"/>
          <w:szCs w:val="18"/>
        </w:rPr>
      </w:pPr>
      <w:r w:rsidRPr="003C4F91">
        <w:rPr>
          <w:rFonts w:cs="Arial"/>
          <w:bCs/>
          <w:iCs/>
          <w:sz w:val="18"/>
          <w:szCs w:val="18"/>
        </w:rPr>
        <w:t>Responsible: Dr Miladin Kovačević, Director</w:t>
      </w:r>
      <w:r w:rsidRPr="003C4F91">
        <w:rPr>
          <w:rFonts w:cs="Arial"/>
          <w:bCs/>
          <w:iCs/>
          <w:sz w:val="18"/>
          <w:szCs w:val="18"/>
        </w:rPr>
        <w:br/>
        <w:t xml:space="preserve">Circulation: 20 • Issued </w:t>
      </w:r>
      <w:r w:rsidRPr="003C4F91">
        <w:rPr>
          <w:rFonts w:cs="Arial"/>
          <w:iCs/>
          <w:sz w:val="18"/>
          <w:szCs w:val="18"/>
        </w:rPr>
        <w:t>annually</w:t>
      </w:r>
    </w:p>
    <w:sectPr w:rsidR="003C5FBB" w:rsidRPr="003C4F91" w:rsidSect="002B0DBF">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2D" w:rsidRDefault="00C3722D" w:rsidP="002B0DBF">
      <w:r>
        <w:separator/>
      </w:r>
    </w:p>
  </w:endnote>
  <w:endnote w:type="continuationSeparator" w:id="0">
    <w:p w:rsidR="00C3722D" w:rsidRDefault="00C3722D" w:rsidP="002B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BF" w:rsidRPr="007D034D" w:rsidRDefault="002B0DBF" w:rsidP="002B0DBF">
    <w:pPr>
      <w:pStyle w:val="Footer"/>
      <w:pBdr>
        <w:top w:val="single" w:sz="4" w:space="1" w:color="auto"/>
      </w:pBdr>
      <w:rPr>
        <w:sz w:val="16"/>
        <w:szCs w:val="16"/>
      </w:rPr>
    </w:pPr>
    <w:r w:rsidRPr="007D034D">
      <w:rPr>
        <w:sz w:val="16"/>
        <w:szCs w:val="16"/>
      </w:rPr>
      <w:fldChar w:fldCharType="begin"/>
    </w:r>
    <w:r w:rsidRPr="007D034D">
      <w:rPr>
        <w:sz w:val="16"/>
        <w:szCs w:val="16"/>
      </w:rPr>
      <w:instrText xml:space="preserve"> PAGE   \* MERGEFORMAT </w:instrText>
    </w:r>
    <w:r w:rsidRPr="007D034D">
      <w:rPr>
        <w:sz w:val="16"/>
        <w:szCs w:val="16"/>
      </w:rPr>
      <w:fldChar w:fldCharType="separate"/>
    </w:r>
    <w:r w:rsidR="006D2B31">
      <w:rPr>
        <w:noProof/>
        <w:sz w:val="16"/>
        <w:szCs w:val="16"/>
      </w:rPr>
      <w:t>2</w:t>
    </w:r>
    <w:r w:rsidRPr="007D034D">
      <w:rPr>
        <w:noProof/>
        <w:sz w:val="16"/>
        <w:szCs w:val="16"/>
      </w:rPr>
      <w:fldChar w:fldCharType="end"/>
    </w:r>
    <w:r>
      <w:rPr>
        <w:noProof/>
        <w:sz w:val="16"/>
        <w:szCs w:val="16"/>
        <w:lang w:val="sr-Latn-RS"/>
      </w:rPr>
      <w:t xml:space="preserve">                  </w:t>
    </w:r>
    <w:r>
      <w:rPr>
        <w:noProof/>
        <w:sz w:val="16"/>
        <w:szCs w:val="16"/>
      </w:rPr>
      <w:t xml:space="preserve">                                                                                                                                                                   </w:t>
    </w:r>
    <w:r w:rsidR="006D2B31">
      <w:rPr>
        <w:noProof/>
        <w:sz w:val="16"/>
        <w:szCs w:val="16"/>
        <w:lang w:val="sr-Latn-RS"/>
      </w:rPr>
      <w:t>SERB128 ZS</w:t>
    </w:r>
    <w:r>
      <w:rPr>
        <w:noProof/>
        <w:sz w:val="16"/>
        <w:szCs w:val="16"/>
      </w:rPr>
      <w:t xml:space="preserve">40 </w:t>
    </w:r>
    <w:r w:rsidR="006D2B31">
      <w:rPr>
        <w:noProof/>
        <w:sz w:val="16"/>
        <w:szCs w:val="16"/>
      </w:rPr>
      <w:t>250518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2D" w:rsidRDefault="00C3722D" w:rsidP="002B0DBF">
      <w:r>
        <w:separator/>
      </w:r>
    </w:p>
  </w:footnote>
  <w:footnote w:type="continuationSeparator" w:id="0">
    <w:p w:rsidR="00C3722D" w:rsidRDefault="00C3722D" w:rsidP="002B0DBF">
      <w:r>
        <w:continuationSeparator/>
      </w:r>
    </w:p>
  </w:footnote>
  <w:footnote w:id="1">
    <w:p w:rsidR="00A521C9" w:rsidRDefault="00A521C9" w:rsidP="00A521C9">
      <w:pPr>
        <w:pStyle w:val="FootnoteText"/>
        <w:spacing w:before="60"/>
        <w:ind w:left="142" w:hanging="142"/>
        <w:jc w:val="both"/>
        <w:rPr>
          <w:sz w:val="16"/>
          <w:szCs w:val="16"/>
          <w:lang w:val="sr-Latn-RS"/>
        </w:rPr>
      </w:pPr>
      <w:r>
        <w:rPr>
          <w:rStyle w:val="FootnoteReference"/>
          <w:sz w:val="16"/>
          <w:szCs w:val="16"/>
        </w:rPr>
        <w:footnoteRef/>
      </w:r>
      <w:r w:rsidR="003C5FBB">
        <w:rPr>
          <w:rFonts w:eastAsia="Calibri" w:cs="Arial"/>
          <w:sz w:val="16"/>
          <w:szCs w:val="16"/>
          <w:lang w:val="en-US"/>
        </w:rPr>
        <w:t xml:space="preserve"> Discharged quantities of wastewater from industrial sector include the following CA sectors: Mining and quarrying, Manufacturing, Electricity, gas, steam and air conditioning supply.  </w:t>
      </w:r>
    </w:p>
  </w:footnote>
  <w:footnote w:id="2">
    <w:p w:rsidR="00A521C9" w:rsidRPr="003C5FBB" w:rsidRDefault="00A521C9" w:rsidP="00A521C9">
      <w:pPr>
        <w:autoSpaceDE w:val="0"/>
        <w:autoSpaceDN w:val="0"/>
        <w:adjustRightInd w:val="0"/>
        <w:spacing w:before="60"/>
        <w:ind w:left="142" w:hanging="142"/>
        <w:jc w:val="both"/>
        <w:rPr>
          <w:sz w:val="16"/>
          <w:szCs w:val="16"/>
          <w:lang w:val="en-US"/>
        </w:rPr>
      </w:pPr>
      <w:r>
        <w:rPr>
          <w:rStyle w:val="FootnoteReference"/>
          <w:sz w:val="16"/>
          <w:szCs w:val="16"/>
        </w:rPr>
        <w:footnoteRef/>
      </w:r>
      <w:r>
        <w:rPr>
          <w:sz w:val="16"/>
          <w:szCs w:val="16"/>
        </w:rPr>
        <w:t xml:space="preserve"> </w:t>
      </w:r>
      <w:r w:rsidR="003C5FBB">
        <w:rPr>
          <w:rFonts w:eastAsia="Calibri" w:cs="Arial"/>
          <w:sz w:val="16"/>
          <w:szCs w:val="16"/>
          <w:lang w:val="en-US"/>
        </w:rPr>
        <w:t>Discharged quantities of wastewater from other users encompass the following CA sectors</w:t>
      </w:r>
      <w:r w:rsidR="003C5FBB" w:rsidRPr="0066051C">
        <w:rPr>
          <w:rFonts w:eastAsia="Calibri" w:cs="Arial"/>
          <w:sz w:val="16"/>
          <w:szCs w:val="16"/>
          <w:lang w:val="en-US"/>
        </w:rPr>
        <w:t xml:space="preserve">: </w:t>
      </w:r>
      <w:r w:rsidR="003C5FBB" w:rsidRPr="0066051C">
        <w:rPr>
          <w:rFonts w:cs="Arial"/>
          <w:sz w:val="16"/>
          <w:szCs w:val="16"/>
        </w:rPr>
        <w:t>Agriculture, forestry and fishing</w:t>
      </w:r>
      <w:r w:rsidR="003C5FBB">
        <w:rPr>
          <w:rFonts w:cs="Arial"/>
          <w:sz w:val="16"/>
          <w:szCs w:val="16"/>
          <w:lang w:val="en-US"/>
        </w:rPr>
        <w:t>,</w:t>
      </w:r>
      <w:r w:rsidR="003C5FBB" w:rsidRPr="0066051C">
        <w:rPr>
          <w:rFonts w:cs="Arial"/>
          <w:sz w:val="16"/>
          <w:szCs w:val="16"/>
        </w:rPr>
        <w:t xml:space="preserve"> Construction and </w:t>
      </w:r>
      <w:r w:rsidR="003C5FBB">
        <w:rPr>
          <w:rFonts w:cs="Arial"/>
          <w:sz w:val="16"/>
          <w:szCs w:val="16"/>
        </w:rPr>
        <w:t xml:space="preserve">Other </w:t>
      </w:r>
      <w:r w:rsidR="003C5FBB" w:rsidRPr="0066051C">
        <w:rPr>
          <w:rFonts w:cs="Arial"/>
          <w:sz w:val="16"/>
          <w:szCs w:val="16"/>
        </w:rPr>
        <w:t>service activities</w:t>
      </w:r>
      <w:r w:rsidR="003C5FBB">
        <w:rPr>
          <w:rFonts w:cs="Arial"/>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2AB4"/>
    <w:multiLevelType w:val="hybridMultilevel"/>
    <w:tmpl w:val="6EF4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BF"/>
    <w:rsid w:val="00114D57"/>
    <w:rsid w:val="002B0DBF"/>
    <w:rsid w:val="003C4F91"/>
    <w:rsid w:val="003C5FBB"/>
    <w:rsid w:val="003F5C6C"/>
    <w:rsid w:val="00684AB8"/>
    <w:rsid w:val="006D2B31"/>
    <w:rsid w:val="006D4D6C"/>
    <w:rsid w:val="0087354B"/>
    <w:rsid w:val="00A521C9"/>
    <w:rsid w:val="00AF51D4"/>
    <w:rsid w:val="00C3722D"/>
    <w:rsid w:val="00DE3A2D"/>
    <w:rsid w:val="00EC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A880"/>
  <w15:docId w15:val="{E1B91F2D-4321-4EF5-8390-4EB45205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BF"/>
    <w:rPr>
      <w:rFonts w:ascii="Arial" w:eastAsia="Times New Roman"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DBF"/>
    <w:rPr>
      <w:color w:val="0563C1"/>
      <w:u w:val="single"/>
    </w:rPr>
  </w:style>
  <w:style w:type="paragraph" w:styleId="FootnoteText">
    <w:name w:val="footnote text"/>
    <w:basedOn w:val="Normal"/>
    <w:link w:val="FootnoteTextChar"/>
    <w:uiPriority w:val="99"/>
    <w:semiHidden/>
    <w:unhideWhenUsed/>
    <w:rsid w:val="002B0DBF"/>
    <w:rPr>
      <w:szCs w:val="20"/>
    </w:rPr>
  </w:style>
  <w:style w:type="character" w:customStyle="1" w:styleId="FootnoteTextChar">
    <w:name w:val="Footnote Text Char"/>
    <w:link w:val="FootnoteText"/>
    <w:uiPriority w:val="99"/>
    <w:semiHidden/>
    <w:rsid w:val="002B0DBF"/>
    <w:rPr>
      <w:rFonts w:ascii="Arial" w:eastAsia="Times New Roman" w:hAnsi="Arial" w:cs="Times New Roman"/>
      <w:sz w:val="20"/>
      <w:szCs w:val="20"/>
      <w:lang w:val="sr-Cyrl-RS"/>
    </w:rPr>
  </w:style>
  <w:style w:type="character" w:styleId="FootnoteReference">
    <w:name w:val="footnote reference"/>
    <w:uiPriority w:val="99"/>
    <w:semiHidden/>
    <w:unhideWhenUsed/>
    <w:rsid w:val="002B0DBF"/>
    <w:rPr>
      <w:vertAlign w:val="superscript"/>
    </w:rPr>
  </w:style>
  <w:style w:type="paragraph" w:styleId="Header">
    <w:name w:val="header"/>
    <w:basedOn w:val="Normal"/>
    <w:link w:val="HeaderChar"/>
    <w:uiPriority w:val="99"/>
    <w:unhideWhenUsed/>
    <w:rsid w:val="002B0DBF"/>
    <w:pPr>
      <w:tabs>
        <w:tab w:val="center" w:pos="4680"/>
        <w:tab w:val="right" w:pos="9360"/>
      </w:tabs>
    </w:pPr>
  </w:style>
  <w:style w:type="character" w:customStyle="1" w:styleId="HeaderChar">
    <w:name w:val="Header Char"/>
    <w:link w:val="Header"/>
    <w:uiPriority w:val="99"/>
    <w:rsid w:val="002B0DBF"/>
    <w:rPr>
      <w:rFonts w:ascii="Arial" w:eastAsia="Times New Roman" w:hAnsi="Arial" w:cs="Times New Roman"/>
      <w:sz w:val="20"/>
      <w:szCs w:val="24"/>
      <w:lang w:val="sr-Cyrl-RS"/>
    </w:rPr>
  </w:style>
  <w:style w:type="paragraph" w:styleId="Footer">
    <w:name w:val="footer"/>
    <w:basedOn w:val="Normal"/>
    <w:link w:val="FooterChar"/>
    <w:uiPriority w:val="99"/>
    <w:unhideWhenUsed/>
    <w:rsid w:val="002B0DBF"/>
    <w:pPr>
      <w:tabs>
        <w:tab w:val="center" w:pos="4680"/>
        <w:tab w:val="right" w:pos="9360"/>
      </w:tabs>
    </w:pPr>
  </w:style>
  <w:style w:type="character" w:customStyle="1" w:styleId="FooterChar">
    <w:name w:val="Footer Char"/>
    <w:link w:val="Footer"/>
    <w:uiPriority w:val="99"/>
    <w:rsid w:val="002B0DBF"/>
    <w:rPr>
      <w:rFonts w:ascii="Arial" w:eastAsia="Times New Roman" w:hAnsi="Arial" w:cs="Times New Roman"/>
      <w:sz w:val="20"/>
      <w:szCs w:val="24"/>
      <w:lang w:val="sr-Cyrl-RS"/>
    </w:rPr>
  </w:style>
  <w:style w:type="paragraph" w:styleId="BalloonText">
    <w:name w:val="Balloon Text"/>
    <w:basedOn w:val="Normal"/>
    <w:link w:val="BalloonTextChar"/>
    <w:uiPriority w:val="99"/>
    <w:semiHidden/>
    <w:unhideWhenUsed/>
    <w:rsid w:val="00A521C9"/>
    <w:rPr>
      <w:rFonts w:ascii="Tahoma" w:hAnsi="Tahoma" w:cs="Tahoma"/>
      <w:sz w:val="16"/>
      <w:szCs w:val="16"/>
    </w:rPr>
  </w:style>
  <w:style w:type="character" w:customStyle="1" w:styleId="BalloonTextChar">
    <w:name w:val="Balloon Text Char"/>
    <w:basedOn w:val="DefaultParagraphFont"/>
    <w:link w:val="BalloonText"/>
    <w:uiPriority w:val="99"/>
    <w:semiHidden/>
    <w:rsid w:val="00A521C9"/>
    <w:rPr>
      <w:rFonts w:ascii="Tahoma" w:eastAsia="Times New Roman" w:hAnsi="Tahoma" w:cs="Tahoma"/>
      <w:sz w:val="16"/>
      <w:szCs w:val="16"/>
      <w:lang w:val="sr-Cyrl-RS"/>
    </w:rPr>
  </w:style>
  <w:style w:type="paragraph" w:styleId="ListParagraph">
    <w:name w:val="List Paragraph"/>
    <w:basedOn w:val="Normal"/>
    <w:uiPriority w:val="34"/>
    <w:qFormat/>
    <w:rsid w:val="003C5FBB"/>
    <w:pPr>
      <w:ind w:left="720"/>
      <w:contextualSpacing/>
    </w:pPr>
  </w:style>
  <w:style w:type="character" w:customStyle="1" w:styleId="hpsalt-edited">
    <w:name w:val="hps alt-edited"/>
    <w:basedOn w:val="DefaultParagraphFont"/>
    <w:rsid w:val="003C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da.cukavac@stat.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gov.rs/sr-latn/oblasti/zivotna-sredi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caller=2501&amp;languageCode=sr-Latn" TargetMode="External"/><Relationship Id="rId4" Type="http://schemas.openxmlformats.org/officeDocument/2006/relationships/webSettings" Target="webSettings.xml"/><Relationship Id="rId9" Type="http://schemas.openxmlformats.org/officeDocument/2006/relationships/hyperlink" Target="http://www.stat.gov.rs/sr-latn/istrazivanja/methodology-and-documents/?a=25&amp;s=250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8\Saopstenja\ZivotnaSredina\ZS40\grafik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col"/>
        <c:grouping val="clustered"/>
        <c:varyColors val="0"/>
        <c:ser>
          <c:idx val="0"/>
          <c:order val="0"/>
          <c:tx>
            <c:strRef>
              <c:f>grafikon!$D$6</c:f>
              <c:strCache>
                <c:ptCount val="1"/>
                <c:pt idx="0">
                  <c:v>2016</c:v>
                </c:pt>
              </c:strCache>
            </c:strRef>
          </c:tx>
          <c:spPr>
            <a:solidFill>
              <a:srgbClr val="162983"/>
            </a:solidFill>
          </c:spPr>
          <c:invertIfNegative val="0"/>
          <c:cat>
            <c:strRef>
              <c:f>grafikon!$A$7:$A$9</c:f>
              <c:strCache>
                <c:ptCount val="3"/>
                <c:pt idx="0">
                  <c:v>Wastewater from households</c:v>
                </c:pt>
                <c:pt idx="1">
                  <c:v>Wastewater from industrial sector </c:v>
                </c:pt>
                <c:pt idx="2">
                  <c:v>Wastewater from other users</c:v>
                </c:pt>
              </c:strCache>
            </c:strRef>
          </c:cat>
          <c:val>
            <c:numRef>
              <c:f>grafikon!$D$7:$D$9</c:f>
              <c:numCache>
                <c:formatCode>0</c:formatCode>
                <c:ptCount val="3"/>
                <c:pt idx="0">
                  <c:v>210</c:v>
                </c:pt>
                <c:pt idx="1">
                  <c:v>34</c:v>
                </c:pt>
                <c:pt idx="2">
                  <c:v>39</c:v>
                </c:pt>
              </c:numCache>
            </c:numRef>
          </c:val>
          <c:extLst>
            <c:ext xmlns:c16="http://schemas.microsoft.com/office/drawing/2014/chart" uri="{C3380CC4-5D6E-409C-BE32-E72D297353CC}">
              <c16:uniqueId val="{00000000-5CA7-4D7E-A2D2-1ABBC6759998}"/>
            </c:ext>
          </c:extLst>
        </c:ser>
        <c:ser>
          <c:idx val="1"/>
          <c:order val="1"/>
          <c:tx>
            <c:strRef>
              <c:f>grafikon!$E$6</c:f>
              <c:strCache>
                <c:ptCount val="1"/>
                <c:pt idx="0">
                  <c:v>2017</c:v>
                </c:pt>
              </c:strCache>
            </c:strRef>
          </c:tx>
          <c:spPr>
            <a:solidFill>
              <a:srgbClr val="A69DC9"/>
            </a:solidFill>
          </c:spPr>
          <c:invertIfNegative val="0"/>
          <c:cat>
            <c:strRef>
              <c:f>grafikon!$A$7:$A$9</c:f>
              <c:strCache>
                <c:ptCount val="3"/>
                <c:pt idx="0">
                  <c:v>Wastewater from households</c:v>
                </c:pt>
                <c:pt idx="1">
                  <c:v>Wastewater from industrial sector </c:v>
                </c:pt>
                <c:pt idx="2">
                  <c:v>Wastewater from other users</c:v>
                </c:pt>
              </c:strCache>
            </c:strRef>
          </c:cat>
          <c:val>
            <c:numRef>
              <c:f>grafikon!$E$7:$E$9</c:f>
              <c:numCache>
                <c:formatCode>0</c:formatCode>
                <c:ptCount val="3"/>
                <c:pt idx="0">
                  <c:v>217</c:v>
                </c:pt>
                <c:pt idx="1">
                  <c:v>32</c:v>
                </c:pt>
                <c:pt idx="2">
                  <c:v>45</c:v>
                </c:pt>
              </c:numCache>
            </c:numRef>
          </c:val>
          <c:extLst>
            <c:ext xmlns:c16="http://schemas.microsoft.com/office/drawing/2014/chart" uri="{C3380CC4-5D6E-409C-BE32-E72D297353CC}">
              <c16:uniqueId val="{00000001-5CA7-4D7E-A2D2-1ABBC6759998}"/>
            </c:ext>
          </c:extLst>
        </c:ser>
        <c:dLbls>
          <c:showLegendKey val="0"/>
          <c:showVal val="0"/>
          <c:showCatName val="0"/>
          <c:showSerName val="0"/>
          <c:showPercent val="0"/>
          <c:showBubbleSize val="0"/>
        </c:dLbls>
        <c:gapWidth val="150"/>
        <c:axId val="126087936"/>
        <c:axId val="126089472"/>
      </c:barChart>
      <c:catAx>
        <c:axId val="126087936"/>
        <c:scaling>
          <c:orientation val="minMax"/>
        </c:scaling>
        <c:delete val="0"/>
        <c:axPos val="b"/>
        <c:numFmt formatCode="General" sourceLinked="0"/>
        <c:majorTickMark val="out"/>
        <c:minorTickMark val="none"/>
        <c:tickLblPos val="nextTo"/>
        <c:spPr>
          <a:ln>
            <a:solidFill>
              <a:schemeClr val="bg1">
                <a:lumMod val="65000"/>
              </a:schemeClr>
            </a:solidFill>
          </a:ln>
        </c:spPr>
        <c:txPr>
          <a:bodyPr/>
          <a:lstStyle/>
          <a:p>
            <a:pPr>
              <a:defRPr sz="800">
                <a:latin typeface="Arial" panose="020B0604020202020204" pitchFamily="34" charset="0"/>
                <a:cs typeface="Arial" panose="020B0604020202020204" pitchFamily="34" charset="0"/>
              </a:defRPr>
            </a:pPr>
            <a:endParaRPr lang="en-US"/>
          </a:p>
        </c:txPr>
        <c:crossAx val="126089472"/>
        <c:crosses val="autoZero"/>
        <c:auto val="1"/>
        <c:lblAlgn val="ctr"/>
        <c:lblOffset val="100"/>
        <c:noMultiLvlLbl val="0"/>
      </c:catAx>
      <c:valAx>
        <c:axId val="126089472"/>
        <c:scaling>
          <c:orientation val="minMax"/>
        </c:scaling>
        <c:delete val="0"/>
        <c:axPos val="l"/>
        <c:numFmt formatCode="0" sourceLinked="0"/>
        <c:majorTickMark val="out"/>
        <c:minorTickMark val="none"/>
        <c:tickLblPos val="nextTo"/>
        <c:spPr>
          <a:ln>
            <a:solidFill>
              <a:schemeClr val="bg1">
                <a:lumMod val="65000"/>
              </a:schemeClr>
            </a:solidFill>
          </a:ln>
        </c:spPr>
        <c:txPr>
          <a:bodyPr/>
          <a:lstStyle/>
          <a:p>
            <a:pPr>
              <a:defRPr sz="800">
                <a:latin typeface="Arial" panose="020B0604020202020204" pitchFamily="34" charset="0"/>
                <a:cs typeface="Arial" panose="020B0604020202020204" pitchFamily="34" charset="0"/>
              </a:defRPr>
            </a:pPr>
            <a:endParaRPr lang="en-US"/>
          </a:p>
        </c:txPr>
        <c:crossAx val="126087936"/>
        <c:crosses val="autoZero"/>
        <c:crossBetween val="between"/>
      </c:valAx>
      <c:spPr>
        <a:noFill/>
      </c:spPr>
    </c:plotArea>
    <c:legend>
      <c:legendPos val="b"/>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Links>
    <vt:vector size="30" baseType="variant">
      <vt:variant>
        <vt:i4>1048622</vt:i4>
      </vt:variant>
      <vt:variant>
        <vt:i4>12</vt:i4>
      </vt:variant>
      <vt:variant>
        <vt:i4>0</vt:i4>
      </vt:variant>
      <vt:variant>
        <vt:i4>5</vt:i4>
      </vt:variant>
      <vt:variant>
        <vt:lpwstr>mailto:neda.cukavac@stat.gov.rs</vt:lpwstr>
      </vt:variant>
      <vt:variant>
        <vt:lpwstr/>
      </vt:variant>
      <vt:variant>
        <vt:i4>6946876</vt:i4>
      </vt:variant>
      <vt:variant>
        <vt:i4>9</vt:i4>
      </vt:variant>
      <vt:variant>
        <vt:i4>0</vt:i4>
      </vt:variant>
      <vt:variant>
        <vt:i4>5</vt:i4>
      </vt:variant>
      <vt:variant>
        <vt:lpwstr>http://www.stat.gov.rs/sr-latn/oblasti/zivotna-sredina/</vt:lpwstr>
      </vt:variant>
      <vt:variant>
        <vt:lpwstr/>
      </vt:variant>
      <vt:variant>
        <vt:i4>4849748</vt:i4>
      </vt:variant>
      <vt:variant>
        <vt:i4>6</vt:i4>
      </vt:variant>
      <vt:variant>
        <vt:i4>0</vt:i4>
      </vt:variant>
      <vt:variant>
        <vt:i4>5</vt:i4>
      </vt:variant>
      <vt:variant>
        <vt:lpwstr>http://data.stat.gov.rs/?caller=2501&amp;languageCode=sr-Latn</vt:lpwstr>
      </vt:variant>
      <vt:variant>
        <vt:lpwstr/>
      </vt:variant>
      <vt:variant>
        <vt:i4>2162784</vt:i4>
      </vt:variant>
      <vt:variant>
        <vt:i4>3</vt:i4>
      </vt:variant>
      <vt:variant>
        <vt:i4>0</vt:i4>
      </vt:variant>
      <vt:variant>
        <vt:i4>5</vt:i4>
      </vt:variant>
      <vt:variant>
        <vt:lpwstr>http://www.stat.gov.rs/sr-latn/istrazivanja/methodology-and-documents/?a=25&amp;s=2501</vt:lpwstr>
      </vt:variant>
      <vt:variant>
        <vt:lpwstr/>
      </vt:variant>
      <vt:variant>
        <vt:i4>458827</vt:i4>
      </vt:variant>
      <vt:variant>
        <vt:i4>0</vt:i4>
      </vt:variant>
      <vt:variant>
        <vt:i4>0</vt:i4>
      </vt:variant>
      <vt:variant>
        <vt:i4>5</vt:i4>
      </vt:variant>
      <vt:variant>
        <vt:lpwstr>\\Rzsftp.statsrb.lan\publicistikarazmena$\Ostalo\Irena\milan\neda11\vod2\z54gd04\Local Settings\Temp\_tc0\Ispravka ekobiltena ZZS 15.1.2010.xls</vt:lpwstr>
      </vt:variant>
      <vt:variant>
        <vt:lpwstr>RANGE!#REF!#RANGE!#REF!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Dimic</dc:creator>
  <cp:keywords/>
  <dc:description/>
  <cp:lastModifiedBy>Irena Dimic</cp:lastModifiedBy>
  <cp:revision>4</cp:revision>
  <dcterms:created xsi:type="dcterms:W3CDTF">2018-05-22T10:15:00Z</dcterms:created>
  <dcterms:modified xsi:type="dcterms:W3CDTF">2018-05-23T05:58:00Z</dcterms:modified>
</cp:coreProperties>
</file>