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2577D1" w:rsidRPr="004C00D2">
        <w:trPr>
          <w:cantSplit/>
          <w:trHeight w:val="631"/>
          <w:jc w:val="center"/>
        </w:trPr>
        <w:tc>
          <w:tcPr>
            <w:tcW w:w="812" w:type="pct"/>
            <w:tcBorders>
              <w:top w:val="single" w:sz="12" w:space="0" w:color="808080"/>
              <w:left w:val="nil"/>
              <w:bottom w:val="nil"/>
            </w:tcBorders>
            <w:vAlign w:val="center"/>
          </w:tcPr>
          <w:p w:rsidR="002577D1" w:rsidRPr="004C00D2" w:rsidRDefault="00C149A4" w:rsidP="00C149A4">
            <w:pPr>
              <w:rPr>
                <w:rFonts w:cs="Arial"/>
                <w:color w:val="808080"/>
                <w:szCs w:val="20"/>
              </w:rPr>
            </w:pPr>
            <w:r w:rsidRPr="004C00D2">
              <w:rPr>
                <w:color w:val="808080"/>
                <w:sz w:val="8"/>
                <w:szCs w:val="8"/>
              </w:rPr>
              <w:t xml:space="preserve">  </w:t>
            </w:r>
            <w:r w:rsidR="0041739D" w:rsidRPr="004C00D2">
              <w:rPr>
                <w:color w:val="808080"/>
                <w:sz w:val="8"/>
                <w:szCs w:val="8"/>
              </w:rPr>
              <w:t xml:space="preserve">   </w:t>
            </w:r>
            <w:r w:rsidRPr="004C00D2">
              <w:rPr>
                <w:color w:val="808080"/>
                <w:sz w:val="8"/>
                <w:szCs w:val="8"/>
              </w:rPr>
              <w:t xml:space="preserve">               </w:t>
            </w:r>
            <w:r w:rsidR="00F93154" w:rsidRPr="004C00D2">
              <w:rPr>
                <w:noProof/>
                <w:color w:val="808080"/>
                <w:lang w:val="en-US"/>
              </w:rPr>
              <w:drawing>
                <wp:anchor distT="0" distB="0" distL="114300" distR="114300" simplePos="0" relativeHeight="251657216" behindDoc="0" locked="0" layoutInCell="1" allowOverlap="1">
                  <wp:simplePos x="0" y="0"/>
                  <wp:positionH relativeFrom="character">
                    <wp:posOffset>0</wp:posOffset>
                  </wp:positionH>
                  <wp:positionV relativeFrom="line">
                    <wp:posOffset>0</wp:posOffset>
                  </wp:positionV>
                  <wp:extent cx="904875" cy="219075"/>
                  <wp:effectExtent l="0" t="0" r="0" b="0"/>
                  <wp:wrapNone/>
                  <wp:docPr id="4" name="Picture 2"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RZ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F93154" w:rsidRPr="004C00D2">
              <w:rPr>
                <w:noProof/>
                <w:color w:val="808080"/>
                <w:lang w:val="en-US"/>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A9F629"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027E9E" w:rsidRPr="004C00D2" w:rsidRDefault="00027E9E" w:rsidP="002338F2">
            <w:pPr>
              <w:rPr>
                <w:rFonts w:cs="Arial"/>
              </w:rPr>
            </w:pPr>
            <w:r w:rsidRPr="004C00D2">
              <w:rPr>
                <w:rFonts w:cs="Arial"/>
              </w:rPr>
              <w:t>Republic of Serbia</w:t>
            </w:r>
          </w:p>
          <w:p w:rsidR="002577D1" w:rsidRPr="004C00D2" w:rsidRDefault="00584A33" w:rsidP="002338F2">
            <w:pPr>
              <w:rPr>
                <w:rFonts w:cs="Arial"/>
                <w:szCs w:val="20"/>
              </w:rPr>
            </w:pPr>
            <w:r w:rsidRPr="004C00D2">
              <w:rPr>
                <w:rFonts w:cs="Arial"/>
              </w:rPr>
              <w:t>Statistical Office of the Republic of Serbia</w:t>
            </w:r>
          </w:p>
        </w:tc>
        <w:tc>
          <w:tcPr>
            <w:tcW w:w="0" w:type="auto"/>
            <w:tcBorders>
              <w:top w:val="single" w:sz="12" w:space="0" w:color="808080"/>
              <w:bottom w:val="nil"/>
              <w:right w:val="nil"/>
            </w:tcBorders>
            <w:vAlign w:val="center"/>
          </w:tcPr>
          <w:p w:rsidR="002577D1" w:rsidRPr="004C00D2" w:rsidRDefault="002577D1" w:rsidP="006E7AF4">
            <w:pPr>
              <w:jc w:val="right"/>
              <w:rPr>
                <w:rFonts w:cs="Arial"/>
                <w:b/>
                <w:color w:val="808080"/>
                <w:szCs w:val="20"/>
              </w:rPr>
            </w:pPr>
            <w:r w:rsidRPr="004C00D2">
              <w:rPr>
                <w:rFonts w:cs="Arial"/>
                <w:szCs w:val="20"/>
              </w:rPr>
              <w:t>ISSN 0353-9555</w:t>
            </w:r>
          </w:p>
        </w:tc>
      </w:tr>
      <w:tr w:rsidR="002577D1" w:rsidRPr="004C00D2">
        <w:trPr>
          <w:cantSplit/>
          <w:trHeight w:val="836"/>
          <w:jc w:val="center"/>
        </w:trPr>
        <w:tc>
          <w:tcPr>
            <w:tcW w:w="0" w:type="auto"/>
            <w:gridSpan w:val="2"/>
            <w:tcBorders>
              <w:top w:val="nil"/>
              <w:left w:val="nil"/>
              <w:right w:val="nil"/>
            </w:tcBorders>
            <w:vAlign w:val="center"/>
          </w:tcPr>
          <w:p w:rsidR="002577D1" w:rsidRPr="004C00D2" w:rsidRDefault="00584A33" w:rsidP="002338F2">
            <w:pPr>
              <w:rPr>
                <w:color w:val="808080"/>
                <w:szCs w:val="20"/>
              </w:rPr>
            </w:pPr>
            <w:r w:rsidRPr="004C00D2">
              <w:rPr>
                <w:rFonts w:cs="Arial"/>
                <w:b/>
                <w:color w:val="808080"/>
                <w:sz w:val="48"/>
                <w:szCs w:val="48"/>
              </w:rPr>
              <w:t>STATISTICAL RELEASE</w:t>
            </w:r>
          </w:p>
        </w:tc>
        <w:tc>
          <w:tcPr>
            <w:tcW w:w="0" w:type="auto"/>
            <w:tcBorders>
              <w:top w:val="nil"/>
              <w:left w:val="nil"/>
              <w:right w:val="nil"/>
            </w:tcBorders>
            <w:shd w:val="clear" w:color="auto" w:fill="auto"/>
            <w:vAlign w:val="center"/>
          </w:tcPr>
          <w:p w:rsidR="002577D1" w:rsidRPr="004C00D2" w:rsidRDefault="002D4E35" w:rsidP="002338F2">
            <w:pPr>
              <w:jc w:val="right"/>
              <w:rPr>
                <w:b/>
                <w:color w:val="808080"/>
                <w:sz w:val="12"/>
              </w:rPr>
            </w:pPr>
            <w:r w:rsidRPr="004C00D2">
              <w:rPr>
                <w:rFonts w:cs="Arial"/>
                <w:b/>
                <w:bCs/>
                <w:color w:val="808080"/>
                <w:sz w:val="48"/>
                <w:szCs w:val="48"/>
              </w:rPr>
              <w:t>ZS</w:t>
            </w:r>
            <w:r w:rsidR="000D69EA" w:rsidRPr="004C00D2">
              <w:rPr>
                <w:rFonts w:cs="Arial"/>
                <w:b/>
                <w:bCs/>
                <w:color w:val="808080"/>
                <w:sz w:val="48"/>
                <w:szCs w:val="48"/>
              </w:rPr>
              <w:t>30</w:t>
            </w:r>
          </w:p>
        </w:tc>
      </w:tr>
      <w:tr w:rsidR="002577D1" w:rsidRPr="004C00D2">
        <w:trPr>
          <w:cantSplit/>
          <w:trHeight w:hRule="exact" w:val="279"/>
          <w:jc w:val="center"/>
        </w:trPr>
        <w:tc>
          <w:tcPr>
            <w:tcW w:w="0" w:type="auto"/>
            <w:gridSpan w:val="2"/>
            <w:tcBorders>
              <w:top w:val="nil"/>
              <w:left w:val="nil"/>
              <w:bottom w:val="nil"/>
              <w:right w:val="nil"/>
            </w:tcBorders>
            <w:vAlign w:val="center"/>
          </w:tcPr>
          <w:p w:rsidR="002577D1" w:rsidRPr="004C00D2" w:rsidRDefault="00584A33" w:rsidP="00027E9E">
            <w:pPr>
              <w:rPr>
                <w:rFonts w:cs="Arial"/>
                <w:szCs w:val="20"/>
              </w:rPr>
            </w:pPr>
            <w:r w:rsidRPr="004C00D2">
              <w:rPr>
                <w:rFonts w:cs="Arial"/>
                <w:sz w:val="22"/>
              </w:rPr>
              <w:t>Number 1</w:t>
            </w:r>
            <w:r w:rsidR="005D686F" w:rsidRPr="004C00D2">
              <w:rPr>
                <w:rFonts w:cs="Arial"/>
                <w:sz w:val="22"/>
              </w:rPr>
              <w:t>1</w:t>
            </w:r>
            <w:r w:rsidR="00027E9E" w:rsidRPr="004C00D2">
              <w:rPr>
                <w:rFonts w:cs="Arial"/>
                <w:sz w:val="22"/>
              </w:rPr>
              <w:t>2</w:t>
            </w:r>
            <w:r w:rsidRPr="004C00D2">
              <w:rPr>
                <w:rFonts w:cs="Arial"/>
                <w:sz w:val="22"/>
              </w:rPr>
              <w:t xml:space="preserve"> • Year LX</w:t>
            </w:r>
            <w:r w:rsidR="00CF3650" w:rsidRPr="004C00D2">
              <w:rPr>
                <w:rFonts w:cs="Arial"/>
                <w:sz w:val="22"/>
              </w:rPr>
              <w:t>V</w:t>
            </w:r>
            <w:r w:rsidR="00422E9E">
              <w:rPr>
                <w:rFonts w:cs="Arial"/>
                <w:sz w:val="22"/>
                <w:lang w:val="sr-Cyrl-RS"/>
              </w:rPr>
              <w:t>I</w:t>
            </w:r>
            <w:r w:rsidR="00182529" w:rsidRPr="004C00D2">
              <w:rPr>
                <w:rFonts w:cs="Arial"/>
                <w:sz w:val="22"/>
              </w:rPr>
              <w:t>I</w:t>
            </w:r>
            <w:r w:rsidR="00896D98" w:rsidRPr="004C00D2">
              <w:rPr>
                <w:rFonts w:cs="Arial"/>
                <w:sz w:val="22"/>
              </w:rPr>
              <w:t>I</w:t>
            </w:r>
            <w:r w:rsidR="0059084D" w:rsidRPr="004C00D2">
              <w:rPr>
                <w:rFonts w:cs="Arial"/>
                <w:sz w:val="22"/>
              </w:rPr>
              <w:t xml:space="preserve">, </w:t>
            </w:r>
            <w:r w:rsidR="005D686F" w:rsidRPr="004C00D2">
              <w:rPr>
                <w:rFonts w:cs="Arial"/>
                <w:sz w:val="22"/>
              </w:rPr>
              <w:t>1</w:t>
            </w:r>
            <w:r w:rsidR="00027E9E" w:rsidRPr="004C00D2">
              <w:rPr>
                <w:rFonts w:cs="Arial"/>
                <w:sz w:val="22"/>
              </w:rPr>
              <w:t>1</w:t>
            </w:r>
            <w:r w:rsidRPr="004C00D2">
              <w:rPr>
                <w:rFonts w:cs="Arial"/>
                <w:sz w:val="22"/>
              </w:rPr>
              <w:t>/0</w:t>
            </w:r>
            <w:r w:rsidR="005D686F" w:rsidRPr="004C00D2">
              <w:rPr>
                <w:rFonts w:cs="Arial"/>
                <w:sz w:val="22"/>
              </w:rPr>
              <w:t>5</w:t>
            </w:r>
            <w:r w:rsidRPr="004C00D2">
              <w:rPr>
                <w:rFonts w:cs="Arial"/>
                <w:sz w:val="22"/>
              </w:rPr>
              <w:t>/201</w:t>
            </w:r>
            <w:r w:rsidR="00027E9E" w:rsidRPr="004C00D2">
              <w:rPr>
                <w:rFonts w:cs="Arial"/>
                <w:sz w:val="22"/>
              </w:rPr>
              <w:t>8</w:t>
            </w:r>
          </w:p>
        </w:tc>
        <w:tc>
          <w:tcPr>
            <w:tcW w:w="0" w:type="auto"/>
            <w:tcBorders>
              <w:left w:val="nil"/>
              <w:bottom w:val="nil"/>
              <w:right w:val="nil"/>
            </w:tcBorders>
            <w:shd w:val="clear" w:color="auto" w:fill="auto"/>
            <w:vAlign w:val="center"/>
          </w:tcPr>
          <w:p w:rsidR="002577D1" w:rsidRPr="004C00D2" w:rsidRDefault="002577D1" w:rsidP="002338F2">
            <w:pPr>
              <w:jc w:val="right"/>
              <w:rPr>
                <w:rFonts w:cs="Arial"/>
                <w:b/>
                <w:color w:val="808080"/>
                <w:sz w:val="48"/>
                <w:szCs w:val="48"/>
              </w:rPr>
            </w:pPr>
          </w:p>
        </w:tc>
      </w:tr>
      <w:tr w:rsidR="002577D1" w:rsidRPr="004C00D2">
        <w:trPr>
          <w:cantSplit/>
          <w:trHeight w:val="411"/>
          <w:jc w:val="center"/>
        </w:trPr>
        <w:tc>
          <w:tcPr>
            <w:tcW w:w="0" w:type="auto"/>
            <w:gridSpan w:val="2"/>
            <w:tcBorders>
              <w:top w:val="nil"/>
              <w:left w:val="nil"/>
              <w:bottom w:val="single" w:sz="12" w:space="0" w:color="808080"/>
              <w:right w:val="nil"/>
            </w:tcBorders>
            <w:vAlign w:val="center"/>
          </w:tcPr>
          <w:p w:rsidR="002577D1" w:rsidRPr="004C00D2" w:rsidRDefault="00584A33" w:rsidP="002338F2">
            <w:pPr>
              <w:rPr>
                <w:b/>
                <w:bCs/>
                <w:sz w:val="24"/>
              </w:rPr>
            </w:pPr>
            <w:r w:rsidRPr="004C00D2">
              <w:rPr>
                <w:rFonts w:cs="Arial"/>
                <w:b/>
                <w:sz w:val="24"/>
              </w:rPr>
              <w:t>Environmental statistics</w:t>
            </w:r>
          </w:p>
        </w:tc>
        <w:tc>
          <w:tcPr>
            <w:tcW w:w="0" w:type="auto"/>
            <w:tcBorders>
              <w:top w:val="nil"/>
              <w:left w:val="nil"/>
              <w:bottom w:val="single" w:sz="12" w:space="0" w:color="808080"/>
              <w:right w:val="nil"/>
            </w:tcBorders>
            <w:vAlign w:val="center"/>
          </w:tcPr>
          <w:p w:rsidR="002577D1" w:rsidRPr="004C00D2" w:rsidRDefault="002D4E35" w:rsidP="00027E9E">
            <w:pPr>
              <w:jc w:val="right"/>
              <w:rPr>
                <w:szCs w:val="20"/>
              </w:rPr>
            </w:pPr>
            <w:r w:rsidRPr="004C00D2">
              <w:t>S</w:t>
            </w:r>
            <w:r w:rsidR="00584A33" w:rsidRPr="004C00D2">
              <w:t>E</w:t>
            </w:r>
            <w:r w:rsidRPr="004C00D2">
              <w:t>RB</w:t>
            </w:r>
            <w:r w:rsidR="0059084D" w:rsidRPr="004C00D2">
              <w:t>1</w:t>
            </w:r>
            <w:r w:rsidR="005D686F" w:rsidRPr="004C00D2">
              <w:t>1</w:t>
            </w:r>
            <w:r w:rsidR="00027E9E" w:rsidRPr="004C00D2">
              <w:t>2</w:t>
            </w:r>
            <w:r w:rsidR="000D69EA" w:rsidRPr="004C00D2">
              <w:t xml:space="preserve"> </w:t>
            </w:r>
            <w:r w:rsidRPr="004C00D2">
              <w:t>ZS</w:t>
            </w:r>
            <w:r w:rsidR="000D69EA" w:rsidRPr="004C00D2">
              <w:t xml:space="preserve">30 </w:t>
            </w:r>
            <w:r w:rsidR="005D686F" w:rsidRPr="004C00D2">
              <w:t>1</w:t>
            </w:r>
            <w:r w:rsidR="00027E9E" w:rsidRPr="004C00D2">
              <w:t>1</w:t>
            </w:r>
            <w:r w:rsidR="000D69EA" w:rsidRPr="004C00D2">
              <w:t>0</w:t>
            </w:r>
            <w:r w:rsidR="005D686F" w:rsidRPr="004C00D2">
              <w:t>5</w:t>
            </w:r>
            <w:r w:rsidR="000D69EA" w:rsidRPr="004C00D2">
              <w:t>1</w:t>
            </w:r>
            <w:r w:rsidR="00027E9E" w:rsidRPr="004C00D2">
              <w:t>8</w:t>
            </w:r>
          </w:p>
        </w:tc>
      </w:tr>
    </w:tbl>
    <w:p w:rsidR="00584A33" w:rsidRPr="004C00D2" w:rsidRDefault="00584A33" w:rsidP="00B41D27">
      <w:pPr>
        <w:spacing w:before="720" w:after="120"/>
        <w:jc w:val="center"/>
        <w:rPr>
          <w:rFonts w:cs="Arial"/>
          <w:b/>
          <w:bCs/>
          <w:sz w:val="24"/>
        </w:rPr>
      </w:pPr>
      <w:r w:rsidRPr="004C00D2">
        <w:rPr>
          <w:rFonts w:cs="Arial"/>
          <w:b/>
          <w:bCs/>
          <w:sz w:val="24"/>
        </w:rPr>
        <w:t>Drinking water supply, 201</w:t>
      </w:r>
      <w:r w:rsidR="00027E9E" w:rsidRPr="004C00D2">
        <w:rPr>
          <w:rFonts w:cs="Arial"/>
          <w:b/>
          <w:bCs/>
          <w:sz w:val="24"/>
        </w:rPr>
        <w:t>7</w:t>
      </w:r>
    </w:p>
    <w:p w:rsidR="00027E9E" w:rsidRPr="004C00D2" w:rsidRDefault="00027E9E" w:rsidP="007C6048">
      <w:pPr>
        <w:spacing w:before="480" w:after="240"/>
        <w:rPr>
          <w:rFonts w:cs="Arial"/>
          <w:szCs w:val="20"/>
        </w:rPr>
      </w:pPr>
      <w:r w:rsidRPr="004C00D2">
        <w:rPr>
          <w:rFonts w:cs="Arial"/>
          <w:b/>
        </w:rPr>
        <w:t xml:space="preserve">More drinking water abstracted and distributed relative to the previous year                                                                  </w:t>
      </w:r>
    </w:p>
    <w:p w:rsidR="00027E9E" w:rsidRPr="004C00D2" w:rsidRDefault="005D686F" w:rsidP="00422E9E">
      <w:pPr>
        <w:spacing w:before="120" w:after="120"/>
        <w:ind w:firstLine="397"/>
        <w:jc w:val="both"/>
        <w:rPr>
          <w:rFonts w:cs="Arial"/>
          <w:szCs w:val="20"/>
        </w:rPr>
      </w:pPr>
      <w:r w:rsidRPr="004C00D2">
        <w:rPr>
          <w:rFonts w:cs="Arial"/>
          <w:szCs w:val="20"/>
        </w:rPr>
        <w:t>In 201</w:t>
      </w:r>
      <w:r w:rsidR="00027E9E" w:rsidRPr="004C00D2">
        <w:rPr>
          <w:rFonts w:cs="Arial"/>
          <w:szCs w:val="20"/>
        </w:rPr>
        <w:t>7</w:t>
      </w:r>
      <w:r w:rsidR="008D577E" w:rsidRPr="004C00D2">
        <w:rPr>
          <w:rFonts w:cs="Arial"/>
          <w:szCs w:val="20"/>
        </w:rPr>
        <w:t>,</w:t>
      </w:r>
      <w:r w:rsidRPr="004C00D2">
        <w:rPr>
          <w:rFonts w:cs="Arial"/>
          <w:szCs w:val="20"/>
        </w:rPr>
        <w:t xml:space="preserve"> for the purpose of drinking water supply</w:t>
      </w:r>
      <w:r w:rsidR="008D577E" w:rsidRPr="004C00D2">
        <w:rPr>
          <w:rFonts w:cs="Arial"/>
          <w:szCs w:val="20"/>
        </w:rPr>
        <w:t>,</w:t>
      </w:r>
      <w:r w:rsidRPr="004C00D2">
        <w:rPr>
          <w:rFonts w:cs="Arial"/>
          <w:szCs w:val="20"/>
        </w:rPr>
        <w:t xml:space="preserve"> </w:t>
      </w:r>
      <w:r w:rsidR="00D966D7" w:rsidRPr="004C00D2">
        <w:rPr>
          <w:rFonts w:cs="Arial"/>
          <w:szCs w:val="20"/>
        </w:rPr>
        <w:t xml:space="preserve">quantity of </w:t>
      </w:r>
      <w:r w:rsidRPr="004C00D2">
        <w:rPr>
          <w:rFonts w:cs="Arial"/>
          <w:szCs w:val="20"/>
        </w:rPr>
        <w:t xml:space="preserve">abstracted </w:t>
      </w:r>
      <w:r w:rsidR="008D577E" w:rsidRPr="004C00D2">
        <w:rPr>
          <w:rFonts w:cs="Arial"/>
          <w:szCs w:val="20"/>
        </w:rPr>
        <w:t xml:space="preserve">water amounted to </w:t>
      </w:r>
      <w:r w:rsidRPr="004C00D2">
        <w:rPr>
          <w:rFonts w:cs="Arial"/>
          <w:szCs w:val="20"/>
        </w:rPr>
        <w:t>6</w:t>
      </w:r>
      <w:r w:rsidR="00896D98" w:rsidRPr="004C00D2">
        <w:rPr>
          <w:rFonts w:cs="Arial"/>
          <w:szCs w:val="20"/>
        </w:rPr>
        <w:t>59</w:t>
      </w:r>
      <w:r w:rsidRPr="004C00D2">
        <w:rPr>
          <w:rFonts w:cs="Arial"/>
          <w:szCs w:val="20"/>
        </w:rPr>
        <w:t xml:space="preserve"> million m</w:t>
      </w:r>
      <w:r w:rsidRPr="004C00D2">
        <w:rPr>
          <w:rFonts w:cs="Arial"/>
          <w:szCs w:val="20"/>
          <w:vertAlign w:val="superscript"/>
        </w:rPr>
        <w:t>3</w:t>
      </w:r>
      <w:r w:rsidRPr="004C00D2">
        <w:rPr>
          <w:rFonts w:cs="Arial"/>
          <w:szCs w:val="20"/>
        </w:rPr>
        <w:t xml:space="preserve">, which represents </w:t>
      </w:r>
      <w:r w:rsidR="00027E9E" w:rsidRPr="004C00D2">
        <w:rPr>
          <w:rFonts w:cs="Arial"/>
          <w:szCs w:val="20"/>
        </w:rPr>
        <w:t>4</w:t>
      </w:r>
      <w:r w:rsidRPr="004C00D2">
        <w:rPr>
          <w:rFonts w:cs="Arial"/>
          <w:szCs w:val="20"/>
        </w:rPr>
        <w:t>.</w:t>
      </w:r>
      <w:r w:rsidR="00027E9E" w:rsidRPr="004C00D2">
        <w:rPr>
          <w:rFonts w:cs="Arial"/>
          <w:szCs w:val="20"/>
        </w:rPr>
        <w:t>0</w:t>
      </w:r>
      <w:r w:rsidRPr="004C00D2">
        <w:rPr>
          <w:rFonts w:cs="Arial"/>
          <w:szCs w:val="20"/>
        </w:rPr>
        <w:t xml:space="preserve">% </w:t>
      </w:r>
      <w:r w:rsidR="002A42D6" w:rsidRPr="004C00D2">
        <w:rPr>
          <w:rFonts w:cs="Arial"/>
          <w:szCs w:val="20"/>
        </w:rPr>
        <w:t>more</w:t>
      </w:r>
      <w:r w:rsidRPr="004C00D2">
        <w:rPr>
          <w:rFonts w:cs="Arial"/>
          <w:szCs w:val="20"/>
        </w:rPr>
        <w:t xml:space="preserve"> water compared to the same period in 201</w:t>
      </w:r>
      <w:r w:rsidR="00027E9E" w:rsidRPr="004C00D2">
        <w:rPr>
          <w:rFonts w:cs="Arial"/>
          <w:szCs w:val="20"/>
        </w:rPr>
        <w:t>6</w:t>
      </w:r>
      <w:r w:rsidRPr="004C00D2">
        <w:rPr>
          <w:rFonts w:cs="Arial"/>
          <w:szCs w:val="20"/>
        </w:rPr>
        <w:t xml:space="preserve">. From the total volume of water, </w:t>
      </w:r>
      <w:r w:rsidR="00027E9E" w:rsidRPr="004C00D2">
        <w:rPr>
          <w:rFonts w:cs="Arial"/>
          <w:szCs w:val="20"/>
        </w:rPr>
        <w:t>59</w:t>
      </w:r>
      <w:r w:rsidRPr="004C00D2">
        <w:rPr>
          <w:rFonts w:cs="Arial"/>
          <w:szCs w:val="20"/>
        </w:rPr>
        <w:t>.</w:t>
      </w:r>
      <w:r w:rsidR="00027E9E" w:rsidRPr="004C00D2">
        <w:rPr>
          <w:rFonts w:cs="Arial"/>
          <w:szCs w:val="20"/>
        </w:rPr>
        <w:t>3</w:t>
      </w:r>
      <w:r w:rsidRPr="004C00D2">
        <w:rPr>
          <w:rFonts w:cs="Arial"/>
          <w:szCs w:val="20"/>
        </w:rPr>
        <w:t xml:space="preserve">% </w:t>
      </w:r>
      <w:r w:rsidR="00D966D7" w:rsidRPr="004C00D2">
        <w:rPr>
          <w:rFonts w:cs="Arial"/>
          <w:szCs w:val="20"/>
        </w:rPr>
        <w:t>related to</w:t>
      </w:r>
      <w:r w:rsidRPr="004C00D2">
        <w:rPr>
          <w:rFonts w:cs="Arial"/>
          <w:szCs w:val="20"/>
        </w:rPr>
        <w:t xml:space="preserve"> underground and spring water, </w:t>
      </w:r>
      <w:r w:rsidR="00896D98" w:rsidRPr="004C00D2">
        <w:rPr>
          <w:rFonts w:cs="Arial"/>
          <w:szCs w:val="20"/>
        </w:rPr>
        <w:t>3</w:t>
      </w:r>
      <w:r w:rsidR="00027E9E" w:rsidRPr="004C00D2">
        <w:rPr>
          <w:rFonts w:cs="Arial"/>
          <w:szCs w:val="20"/>
        </w:rPr>
        <w:t>1</w:t>
      </w:r>
      <w:r w:rsidRPr="004C00D2">
        <w:rPr>
          <w:rFonts w:cs="Arial"/>
          <w:szCs w:val="20"/>
        </w:rPr>
        <w:t>.</w:t>
      </w:r>
      <w:r w:rsidR="00027E9E" w:rsidRPr="004C00D2">
        <w:rPr>
          <w:rFonts w:cs="Arial"/>
          <w:szCs w:val="20"/>
        </w:rPr>
        <w:t>9</w:t>
      </w:r>
      <w:r w:rsidRPr="004C00D2">
        <w:rPr>
          <w:rFonts w:cs="Arial"/>
          <w:szCs w:val="20"/>
        </w:rPr>
        <w:t xml:space="preserve">% was from watercourses, and </w:t>
      </w:r>
      <w:r w:rsidR="00896D98" w:rsidRPr="004C00D2">
        <w:rPr>
          <w:rFonts w:cs="Arial"/>
          <w:szCs w:val="20"/>
        </w:rPr>
        <w:t>8</w:t>
      </w:r>
      <w:r w:rsidRPr="004C00D2">
        <w:rPr>
          <w:rFonts w:cs="Arial"/>
          <w:szCs w:val="20"/>
        </w:rPr>
        <w:t>.</w:t>
      </w:r>
      <w:r w:rsidR="00027E9E" w:rsidRPr="004C00D2">
        <w:rPr>
          <w:rFonts w:cs="Arial"/>
          <w:szCs w:val="20"/>
        </w:rPr>
        <w:t>8</w:t>
      </w:r>
      <w:r w:rsidRPr="004C00D2">
        <w:rPr>
          <w:rFonts w:cs="Arial"/>
          <w:szCs w:val="20"/>
        </w:rPr>
        <w:t xml:space="preserve">% </w:t>
      </w:r>
      <w:r w:rsidR="00D966D7" w:rsidRPr="004C00D2">
        <w:rPr>
          <w:rFonts w:cs="Arial"/>
          <w:szCs w:val="20"/>
        </w:rPr>
        <w:t>was</w:t>
      </w:r>
      <w:r w:rsidRPr="004C00D2">
        <w:rPr>
          <w:rFonts w:cs="Arial"/>
          <w:szCs w:val="20"/>
        </w:rPr>
        <w:t xml:space="preserve"> the water from lakes and accumulations. </w:t>
      </w:r>
    </w:p>
    <w:p w:rsidR="00027E9E" w:rsidRPr="004C00D2" w:rsidRDefault="005D686F" w:rsidP="00422E9E">
      <w:pPr>
        <w:spacing w:before="120" w:after="120"/>
        <w:ind w:firstLine="397"/>
        <w:jc w:val="both"/>
        <w:rPr>
          <w:rFonts w:cs="Arial"/>
          <w:szCs w:val="20"/>
        </w:rPr>
      </w:pPr>
      <w:r w:rsidRPr="004C00D2">
        <w:rPr>
          <w:rFonts w:cs="Arial"/>
          <w:szCs w:val="20"/>
        </w:rPr>
        <w:t>The total</w:t>
      </w:r>
      <w:r w:rsidR="008D577E" w:rsidRPr="004C00D2">
        <w:rPr>
          <w:rFonts w:cs="Arial"/>
          <w:szCs w:val="20"/>
        </w:rPr>
        <w:t xml:space="preserve"> water</w:t>
      </w:r>
      <w:r w:rsidRPr="004C00D2">
        <w:rPr>
          <w:rFonts w:cs="Arial"/>
          <w:szCs w:val="20"/>
        </w:rPr>
        <w:t xml:space="preserve"> distributed to customers </w:t>
      </w:r>
      <w:r w:rsidR="008D577E" w:rsidRPr="004C00D2">
        <w:rPr>
          <w:rFonts w:cs="Arial"/>
          <w:szCs w:val="20"/>
        </w:rPr>
        <w:t xml:space="preserve">amounted to </w:t>
      </w:r>
      <w:r w:rsidRPr="004C00D2">
        <w:rPr>
          <w:rFonts w:cs="Arial"/>
          <w:szCs w:val="20"/>
        </w:rPr>
        <w:t>4</w:t>
      </w:r>
      <w:r w:rsidR="00027E9E" w:rsidRPr="004C00D2">
        <w:rPr>
          <w:rFonts w:cs="Arial"/>
          <w:szCs w:val="20"/>
        </w:rPr>
        <w:t>25</w:t>
      </w:r>
      <w:r w:rsidRPr="004C00D2">
        <w:rPr>
          <w:rFonts w:cs="Arial"/>
          <w:szCs w:val="20"/>
        </w:rPr>
        <w:t xml:space="preserve"> million m</w:t>
      </w:r>
      <w:r w:rsidRPr="004C00D2">
        <w:rPr>
          <w:rFonts w:cs="Arial"/>
          <w:szCs w:val="20"/>
          <w:vertAlign w:val="superscript"/>
        </w:rPr>
        <w:t>3</w:t>
      </w:r>
      <w:r w:rsidRPr="004C00D2">
        <w:rPr>
          <w:rFonts w:cs="Arial"/>
          <w:szCs w:val="20"/>
        </w:rPr>
        <w:t xml:space="preserve">, which is </w:t>
      </w:r>
      <w:r w:rsidR="008D577E" w:rsidRPr="004C00D2">
        <w:rPr>
          <w:rFonts w:cs="Arial"/>
          <w:szCs w:val="20"/>
        </w:rPr>
        <w:t xml:space="preserve">by </w:t>
      </w:r>
      <w:r w:rsidR="00027E9E" w:rsidRPr="004C00D2">
        <w:rPr>
          <w:rFonts w:cs="Arial"/>
          <w:szCs w:val="20"/>
        </w:rPr>
        <w:t>4</w:t>
      </w:r>
      <w:r w:rsidRPr="004C00D2">
        <w:rPr>
          <w:rFonts w:cs="Arial"/>
          <w:szCs w:val="20"/>
        </w:rPr>
        <w:t>.</w:t>
      </w:r>
      <w:r w:rsidR="00027E9E" w:rsidRPr="004C00D2">
        <w:rPr>
          <w:rFonts w:cs="Arial"/>
          <w:szCs w:val="20"/>
        </w:rPr>
        <w:t>2</w:t>
      </w:r>
      <w:r w:rsidRPr="004C00D2">
        <w:rPr>
          <w:rFonts w:cs="Arial"/>
          <w:szCs w:val="20"/>
        </w:rPr>
        <w:t xml:space="preserve">% </w:t>
      </w:r>
      <w:r w:rsidR="002A42D6" w:rsidRPr="004C00D2">
        <w:rPr>
          <w:rFonts w:cs="Arial"/>
          <w:szCs w:val="20"/>
        </w:rPr>
        <w:t>more</w:t>
      </w:r>
      <w:r w:rsidRPr="004C00D2">
        <w:rPr>
          <w:rFonts w:cs="Arial"/>
          <w:szCs w:val="20"/>
        </w:rPr>
        <w:t xml:space="preserve"> water than the amount distributed in 201</w:t>
      </w:r>
      <w:r w:rsidR="00027E9E" w:rsidRPr="004C00D2">
        <w:rPr>
          <w:rFonts w:cs="Arial"/>
          <w:szCs w:val="20"/>
        </w:rPr>
        <w:t>6</w:t>
      </w:r>
      <w:r w:rsidRPr="004C00D2">
        <w:rPr>
          <w:rFonts w:cs="Arial"/>
          <w:szCs w:val="20"/>
        </w:rPr>
        <w:t xml:space="preserve">. </w:t>
      </w:r>
    </w:p>
    <w:p w:rsidR="00027E9E" w:rsidRPr="004C00D2" w:rsidRDefault="00027E9E" w:rsidP="00422E9E">
      <w:pPr>
        <w:spacing w:before="120" w:after="120"/>
        <w:ind w:firstLine="397"/>
        <w:jc w:val="both"/>
        <w:rPr>
          <w:rFonts w:cs="Arial"/>
          <w:szCs w:val="20"/>
        </w:rPr>
      </w:pPr>
      <w:r w:rsidRPr="004C00D2">
        <w:rPr>
          <w:rFonts w:cs="Arial"/>
          <w:szCs w:val="20"/>
        </w:rPr>
        <w:t>Water distributed to households amounted to 317 million m</w:t>
      </w:r>
      <w:r w:rsidRPr="004C00D2">
        <w:rPr>
          <w:rFonts w:cs="Arial"/>
          <w:szCs w:val="20"/>
          <w:vertAlign w:val="superscript"/>
        </w:rPr>
        <w:t xml:space="preserve">3 </w:t>
      </w:r>
      <w:r w:rsidRPr="004C00D2">
        <w:rPr>
          <w:rFonts w:cs="Arial"/>
          <w:szCs w:val="20"/>
        </w:rPr>
        <w:t>and it is 74.5% of total distributed water. 44 million m</w:t>
      </w:r>
      <w:r w:rsidRPr="004C00D2">
        <w:rPr>
          <w:rFonts w:cs="Arial"/>
          <w:szCs w:val="20"/>
          <w:vertAlign w:val="superscript"/>
        </w:rPr>
        <w:t xml:space="preserve">3 </w:t>
      </w:r>
      <w:r w:rsidRPr="004C00D2">
        <w:rPr>
          <w:rFonts w:cs="Arial"/>
          <w:szCs w:val="20"/>
        </w:rPr>
        <w:t>were distributed to industrial sector (10.4%), and amount of water distributed to other users was 64 million m</w:t>
      </w:r>
      <w:r w:rsidRPr="004C00D2">
        <w:rPr>
          <w:rFonts w:cs="Arial"/>
          <w:szCs w:val="20"/>
          <w:vertAlign w:val="superscript"/>
        </w:rPr>
        <w:t>3</w:t>
      </w:r>
      <w:r w:rsidRPr="004C00D2">
        <w:rPr>
          <w:rFonts w:cs="Arial"/>
          <w:szCs w:val="20"/>
        </w:rPr>
        <w:t xml:space="preserve"> (15.1).</w:t>
      </w:r>
    </w:p>
    <w:p w:rsidR="0095042B" w:rsidRPr="004C00D2" w:rsidRDefault="00027E9E" w:rsidP="00422E9E">
      <w:pPr>
        <w:spacing w:before="120" w:after="120"/>
        <w:ind w:firstLine="397"/>
        <w:jc w:val="both"/>
        <w:rPr>
          <w:rFonts w:cs="Arial"/>
          <w:szCs w:val="20"/>
        </w:rPr>
      </w:pPr>
      <w:r w:rsidRPr="004C00D2">
        <w:rPr>
          <w:rFonts w:cs="Arial"/>
          <w:szCs w:val="20"/>
        </w:rPr>
        <w:t xml:space="preserve">Relative to the previous year, 3.2% more water was distributed to households, 4.2% less water was distributed to industrial sector and </w:t>
      </w:r>
      <w:r w:rsidR="0095042B" w:rsidRPr="004C00D2">
        <w:rPr>
          <w:rFonts w:cs="Arial"/>
          <w:szCs w:val="20"/>
        </w:rPr>
        <w:t xml:space="preserve">16.8% more water was distributed to other users. </w:t>
      </w:r>
    </w:p>
    <w:p w:rsidR="007C6048" w:rsidRPr="004C00D2" w:rsidRDefault="00F43C1C" w:rsidP="00422E9E">
      <w:pPr>
        <w:spacing w:before="120" w:after="120"/>
        <w:ind w:firstLine="397"/>
        <w:jc w:val="both"/>
      </w:pPr>
      <w:r w:rsidRPr="004C00D2">
        <w:t xml:space="preserve">Share of water losses </w:t>
      </w:r>
      <w:r w:rsidR="0095042B" w:rsidRPr="004C00D2">
        <w:t>in</w:t>
      </w:r>
      <w:r w:rsidRPr="004C00D2">
        <w:t xml:space="preserve"> total water abstraction </w:t>
      </w:r>
      <w:r w:rsidR="0095042B" w:rsidRPr="004C00D2">
        <w:t>insignificantly de</w:t>
      </w:r>
      <w:r w:rsidRPr="004C00D2">
        <w:t>creased in 201</w:t>
      </w:r>
      <w:r w:rsidR="0095042B" w:rsidRPr="004C00D2">
        <w:t>7</w:t>
      </w:r>
      <w:r w:rsidRPr="004C00D2">
        <w:t xml:space="preserve"> compared to the referent value in 201</w:t>
      </w:r>
      <w:r w:rsidR="0095042B" w:rsidRPr="004C00D2">
        <w:t>6</w:t>
      </w:r>
      <w:r w:rsidRPr="004C00D2">
        <w:t xml:space="preserve">. </w:t>
      </w:r>
    </w:p>
    <w:p w:rsidR="0095042B" w:rsidRPr="004C00D2" w:rsidRDefault="0095042B" w:rsidP="00422E9E">
      <w:pPr>
        <w:spacing w:before="480" w:after="240"/>
        <w:rPr>
          <w:rFonts w:cs="Arial"/>
          <w:b/>
        </w:rPr>
      </w:pPr>
      <w:r w:rsidRPr="004C00D2">
        <w:rPr>
          <w:rFonts w:cs="Arial"/>
          <w:b/>
        </w:rPr>
        <w:t xml:space="preserve">More </w:t>
      </w:r>
      <w:r w:rsidR="004C00D2" w:rsidRPr="004C00D2">
        <w:rPr>
          <w:rFonts w:cs="Arial"/>
          <w:b/>
        </w:rPr>
        <w:t>kilometres</w:t>
      </w:r>
      <w:r w:rsidRPr="004C00D2">
        <w:rPr>
          <w:rFonts w:cs="Arial"/>
          <w:b/>
        </w:rPr>
        <w:t xml:space="preserve"> of water supply network </w:t>
      </w:r>
    </w:p>
    <w:p w:rsidR="0095042B" w:rsidRPr="004C00D2" w:rsidRDefault="0095042B" w:rsidP="00422E9E">
      <w:pPr>
        <w:spacing w:before="120" w:after="120"/>
        <w:ind w:firstLine="397"/>
        <w:jc w:val="both"/>
        <w:rPr>
          <w:rFonts w:cs="Arial"/>
          <w:szCs w:val="20"/>
        </w:rPr>
      </w:pPr>
      <w:r w:rsidRPr="004C00D2">
        <w:rPr>
          <w:rFonts w:cs="Arial"/>
          <w:szCs w:val="20"/>
        </w:rPr>
        <w:t>Length of water supply network in 2017 amounted to 43 514 km, presenting the increase of 4.6% relative to the previous year.</w:t>
      </w:r>
    </w:p>
    <w:p w:rsidR="0095042B" w:rsidRPr="004C00D2" w:rsidRDefault="0095042B" w:rsidP="00422E9E">
      <w:pPr>
        <w:spacing w:before="120" w:after="120"/>
        <w:ind w:firstLine="397"/>
        <w:jc w:val="both"/>
        <w:rPr>
          <w:rFonts w:cs="Arial"/>
          <w:szCs w:val="20"/>
        </w:rPr>
      </w:pPr>
      <w:r w:rsidRPr="004C00D2">
        <w:rPr>
          <w:rFonts w:cs="Arial"/>
          <w:szCs w:val="20"/>
        </w:rPr>
        <w:t>Number of new users connected to water supply network increased by 0.7% if compared with 2016.</w:t>
      </w:r>
    </w:p>
    <w:p w:rsidR="00422E9E" w:rsidRDefault="00422E9E" w:rsidP="007C6048">
      <w:pPr>
        <w:ind w:firstLine="720"/>
        <w:jc w:val="center"/>
        <w:rPr>
          <w:rFonts w:cs="Arial"/>
          <w:b/>
          <w:bCs/>
          <w:sz w:val="18"/>
          <w:szCs w:val="18"/>
        </w:rPr>
      </w:pPr>
    </w:p>
    <w:p w:rsidR="00422E9E" w:rsidRDefault="00422E9E" w:rsidP="007C6048">
      <w:pPr>
        <w:ind w:firstLine="720"/>
        <w:jc w:val="center"/>
        <w:rPr>
          <w:rFonts w:cs="Arial"/>
          <w:b/>
          <w:bCs/>
          <w:sz w:val="18"/>
          <w:szCs w:val="18"/>
        </w:rPr>
      </w:pPr>
    </w:p>
    <w:p w:rsidR="00422E9E" w:rsidRDefault="00422E9E" w:rsidP="007C6048">
      <w:pPr>
        <w:ind w:firstLine="720"/>
        <w:jc w:val="center"/>
        <w:rPr>
          <w:rFonts w:cs="Arial"/>
          <w:b/>
          <w:bCs/>
          <w:sz w:val="18"/>
          <w:szCs w:val="18"/>
        </w:rPr>
      </w:pPr>
    </w:p>
    <w:p w:rsidR="007C6048" w:rsidRPr="004C00D2" w:rsidRDefault="007C6048" w:rsidP="00422E9E">
      <w:pPr>
        <w:jc w:val="center"/>
        <w:rPr>
          <w:rFonts w:cs="Arial"/>
          <w:b/>
          <w:bCs/>
          <w:i/>
          <w:sz w:val="18"/>
          <w:szCs w:val="18"/>
        </w:rPr>
      </w:pPr>
      <w:r w:rsidRPr="004C00D2">
        <w:rPr>
          <w:rFonts w:cs="Arial"/>
          <w:b/>
          <w:bCs/>
          <w:sz w:val="18"/>
          <w:szCs w:val="18"/>
        </w:rPr>
        <w:t>Graph 1 – Abstracted water by source, Republic of Serbia, 2017</w:t>
      </w:r>
    </w:p>
    <w:p w:rsidR="001C060E" w:rsidRPr="004C00D2" w:rsidRDefault="00F93154" w:rsidP="00422E9E">
      <w:pPr>
        <w:jc w:val="center"/>
        <w:rPr>
          <w:rFonts w:cs="Arial"/>
          <w:b/>
          <w:szCs w:val="20"/>
        </w:rPr>
      </w:pPr>
      <w:r w:rsidRPr="00422E9E">
        <w:rPr>
          <w:rFonts w:cs="Arial"/>
          <w:b/>
          <w:noProof/>
          <w:szCs w:val="20"/>
          <w:lang w:val="en-US"/>
        </w:rPr>
        <w:drawing>
          <wp:inline distT="0" distB="0" distL="0" distR="0">
            <wp:extent cx="4314825" cy="2867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4825" cy="2867025"/>
                    </a:xfrm>
                    <a:prstGeom prst="rect">
                      <a:avLst/>
                    </a:prstGeom>
                    <a:noFill/>
                    <a:ln>
                      <a:noFill/>
                    </a:ln>
                  </pic:spPr>
                </pic:pic>
              </a:graphicData>
            </a:graphic>
          </wp:inline>
        </w:drawing>
      </w:r>
      <w:r w:rsidR="00422E9E">
        <w:rPr>
          <w:rFonts w:cs="Arial"/>
          <w:b/>
          <w:szCs w:val="20"/>
        </w:rPr>
        <w:br w:type="page"/>
      </w:r>
      <w:r w:rsidR="001C060E" w:rsidRPr="004C00D2">
        <w:rPr>
          <w:rFonts w:cs="Arial"/>
          <w:b/>
          <w:szCs w:val="20"/>
        </w:rPr>
        <w:lastRenderedPageBreak/>
        <w:t xml:space="preserve">1. Water distributed to users, 2017 </w:t>
      </w:r>
    </w:p>
    <w:p w:rsidR="001C060E" w:rsidRPr="004C00D2" w:rsidRDefault="001C060E" w:rsidP="001C060E">
      <w:pPr>
        <w:spacing w:before="120" w:after="60"/>
        <w:jc w:val="center"/>
        <w:rPr>
          <w:rFonts w:cs="Arial"/>
          <w:sz w:val="18"/>
          <w:szCs w:val="18"/>
        </w:rPr>
      </w:pPr>
      <w:r w:rsidRPr="004C00D2">
        <w:rPr>
          <w:rFonts w:cs="Arial"/>
          <w:sz w:val="18"/>
          <w:szCs w:val="18"/>
        </w:rPr>
        <w:t xml:space="preserve">                                                                                                                                                                         mill. m</w:t>
      </w:r>
      <w:r w:rsidRPr="004C00D2">
        <w:rPr>
          <w:rFonts w:cs="Arial"/>
          <w:sz w:val="18"/>
          <w:szCs w:val="18"/>
          <w:vertAlign w:val="superscript"/>
        </w:rPr>
        <w:t>3</w:t>
      </w:r>
    </w:p>
    <w:tbl>
      <w:tblPr>
        <w:tblW w:w="9074" w:type="dxa"/>
        <w:jc w:val="center"/>
        <w:tblCellMar>
          <w:left w:w="28" w:type="dxa"/>
          <w:right w:w="28" w:type="dxa"/>
        </w:tblCellMar>
        <w:tblLook w:val="04A0" w:firstRow="1" w:lastRow="0" w:firstColumn="1" w:lastColumn="0" w:noHBand="0" w:noVBand="1"/>
      </w:tblPr>
      <w:tblGrid>
        <w:gridCol w:w="3402"/>
        <w:gridCol w:w="1418"/>
        <w:gridCol w:w="1418"/>
        <w:gridCol w:w="1418"/>
        <w:gridCol w:w="1418"/>
      </w:tblGrid>
      <w:tr w:rsidR="001C060E" w:rsidRPr="004C00D2" w:rsidTr="001C060E">
        <w:trPr>
          <w:trHeight w:val="20"/>
          <w:jc w:val="center"/>
        </w:trPr>
        <w:tc>
          <w:tcPr>
            <w:tcW w:w="3402" w:type="dxa"/>
            <w:tcBorders>
              <w:top w:val="single" w:sz="4" w:space="0" w:color="808080"/>
              <w:bottom w:val="single" w:sz="4" w:space="0" w:color="808080"/>
              <w:right w:val="single" w:sz="4" w:space="0" w:color="808080"/>
            </w:tcBorders>
            <w:shd w:val="clear" w:color="auto" w:fill="auto"/>
            <w:vAlign w:val="center"/>
            <w:hideMark/>
          </w:tcPr>
          <w:p w:rsidR="001C060E" w:rsidRPr="004C00D2" w:rsidRDefault="001C060E" w:rsidP="00EE4AA0">
            <w:pPr>
              <w:spacing w:before="120" w:after="120"/>
              <w:jc w:val="center"/>
              <w:rPr>
                <w:rFonts w:cs="Arial"/>
                <w:sz w:val="18"/>
                <w:szCs w:val="18"/>
              </w:rPr>
            </w:pPr>
          </w:p>
        </w:tc>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1C060E" w:rsidRPr="004C00D2" w:rsidRDefault="001C060E" w:rsidP="00EE4AA0">
            <w:pPr>
              <w:spacing w:before="120" w:after="120"/>
              <w:jc w:val="center"/>
              <w:rPr>
                <w:rFonts w:cs="Arial"/>
                <w:sz w:val="18"/>
                <w:szCs w:val="18"/>
              </w:rPr>
            </w:pPr>
            <w:r w:rsidRPr="004C00D2">
              <w:rPr>
                <w:rFonts w:cs="Arial"/>
                <w:sz w:val="18"/>
                <w:szCs w:val="18"/>
              </w:rPr>
              <w:t>Total</w:t>
            </w:r>
          </w:p>
        </w:tc>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1C060E" w:rsidRPr="004C00D2" w:rsidRDefault="001C060E" w:rsidP="00EE4AA0">
            <w:pPr>
              <w:spacing w:before="120" w:after="120"/>
              <w:jc w:val="center"/>
              <w:rPr>
                <w:rFonts w:cs="Arial"/>
                <w:sz w:val="18"/>
                <w:szCs w:val="18"/>
              </w:rPr>
            </w:pPr>
            <w:r w:rsidRPr="004C00D2">
              <w:rPr>
                <w:rFonts w:cs="Arial"/>
                <w:sz w:val="18"/>
                <w:szCs w:val="18"/>
              </w:rPr>
              <w:t>Households</w:t>
            </w:r>
          </w:p>
        </w:tc>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1C060E" w:rsidRPr="004C00D2" w:rsidRDefault="001C060E" w:rsidP="001C060E">
            <w:pPr>
              <w:spacing w:before="120" w:after="120"/>
              <w:jc w:val="center"/>
              <w:rPr>
                <w:rFonts w:cs="Arial"/>
                <w:sz w:val="18"/>
                <w:szCs w:val="18"/>
              </w:rPr>
            </w:pPr>
            <w:r w:rsidRPr="004C00D2">
              <w:rPr>
                <w:rFonts w:cs="Arial"/>
                <w:sz w:val="18"/>
                <w:szCs w:val="18"/>
              </w:rPr>
              <w:t>Industrial sector</w:t>
            </w:r>
            <w:r w:rsidR="003044F9" w:rsidRPr="003044F9">
              <w:rPr>
                <w:rFonts w:cs="Arial"/>
                <w:sz w:val="18"/>
                <w:szCs w:val="18"/>
                <w:vertAlign w:val="superscript"/>
              </w:rPr>
              <w:t>1)</w:t>
            </w:r>
          </w:p>
        </w:tc>
        <w:tc>
          <w:tcPr>
            <w:tcW w:w="1418" w:type="dxa"/>
            <w:tcBorders>
              <w:top w:val="single" w:sz="4" w:space="0" w:color="808080"/>
              <w:left w:val="single" w:sz="4" w:space="0" w:color="808080"/>
              <w:bottom w:val="single" w:sz="4" w:space="0" w:color="808080"/>
            </w:tcBorders>
            <w:shd w:val="clear" w:color="auto" w:fill="auto"/>
            <w:vAlign w:val="center"/>
            <w:hideMark/>
          </w:tcPr>
          <w:p w:rsidR="001C060E" w:rsidRPr="004C00D2" w:rsidRDefault="001C060E" w:rsidP="00EE4AA0">
            <w:pPr>
              <w:spacing w:before="120" w:after="120"/>
              <w:jc w:val="center"/>
              <w:rPr>
                <w:rFonts w:cs="Arial"/>
                <w:sz w:val="18"/>
                <w:szCs w:val="18"/>
              </w:rPr>
            </w:pPr>
            <w:r w:rsidRPr="004C00D2">
              <w:rPr>
                <w:rFonts w:cs="Arial"/>
                <w:sz w:val="18"/>
                <w:szCs w:val="18"/>
              </w:rPr>
              <w:t>Other users</w:t>
            </w:r>
            <w:r w:rsidR="003044F9" w:rsidRPr="003044F9">
              <w:rPr>
                <w:rFonts w:cs="Arial"/>
                <w:sz w:val="18"/>
                <w:szCs w:val="18"/>
                <w:vertAlign w:val="superscript"/>
              </w:rPr>
              <w:t>2)</w:t>
            </w:r>
          </w:p>
        </w:tc>
      </w:tr>
      <w:tr w:rsidR="001C060E" w:rsidRPr="004C00D2" w:rsidTr="001C060E">
        <w:trPr>
          <w:trHeight w:val="20"/>
          <w:jc w:val="center"/>
        </w:trPr>
        <w:tc>
          <w:tcPr>
            <w:tcW w:w="3402" w:type="dxa"/>
            <w:tcBorders>
              <w:top w:val="single" w:sz="4" w:space="0" w:color="808080"/>
              <w:right w:val="single" w:sz="4" w:space="0" w:color="808080"/>
            </w:tcBorders>
            <w:shd w:val="clear" w:color="auto" w:fill="auto"/>
            <w:noWrap/>
            <w:vAlign w:val="bottom"/>
          </w:tcPr>
          <w:p w:rsidR="001C060E" w:rsidRPr="004C00D2" w:rsidRDefault="001C060E" w:rsidP="00EE4AA0">
            <w:pPr>
              <w:rPr>
                <w:rFonts w:cs="Arial"/>
                <w:sz w:val="18"/>
                <w:szCs w:val="18"/>
              </w:rPr>
            </w:pPr>
          </w:p>
        </w:tc>
        <w:tc>
          <w:tcPr>
            <w:tcW w:w="1418" w:type="dxa"/>
            <w:tcBorders>
              <w:top w:val="single" w:sz="4" w:space="0" w:color="808080"/>
              <w:left w:val="single" w:sz="4" w:space="0" w:color="808080"/>
            </w:tcBorders>
            <w:shd w:val="clear" w:color="auto" w:fill="auto"/>
            <w:noWrap/>
            <w:vAlign w:val="bottom"/>
          </w:tcPr>
          <w:p w:rsidR="001C060E" w:rsidRPr="004C00D2" w:rsidRDefault="001C060E" w:rsidP="00EE4AA0">
            <w:pPr>
              <w:jc w:val="right"/>
              <w:rPr>
                <w:rFonts w:cs="Arial"/>
                <w:sz w:val="18"/>
                <w:szCs w:val="18"/>
              </w:rPr>
            </w:pPr>
          </w:p>
        </w:tc>
        <w:tc>
          <w:tcPr>
            <w:tcW w:w="1418" w:type="dxa"/>
            <w:tcBorders>
              <w:top w:val="single" w:sz="4" w:space="0" w:color="808080"/>
            </w:tcBorders>
            <w:shd w:val="clear" w:color="auto" w:fill="auto"/>
            <w:noWrap/>
            <w:vAlign w:val="bottom"/>
          </w:tcPr>
          <w:p w:rsidR="001C060E" w:rsidRPr="004C00D2" w:rsidRDefault="001C060E" w:rsidP="00EE4AA0">
            <w:pPr>
              <w:jc w:val="right"/>
              <w:rPr>
                <w:rFonts w:cs="Arial"/>
                <w:sz w:val="18"/>
                <w:szCs w:val="18"/>
              </w:rPr>
            </w:pPr>
          </w:p>
        </w:tc>
        <w:tc>
          <w:tcPr>
            <w:tcW w:w="1418" w:type="dxa"/>
            <w:tcBorders>
              <w:top w:val="single" w:sz="4" w:space="0" w:color="808080"/>
            </w:tcBorders>
            <w:shd w:val="clear" w:color="auto" w:fill="auto"/>
            <w:noWrap/>
            <w:vAlign w:val="bottom"/>
          </w:tcPr>
          <w:p w:rsidR="001C060E" w:rsidRPr="004C00D2" w:rsidRDefault="001C060E" w:rsidP="00EE4AA0">
            <w:pPr>
              <w:jc w:val="right"/>
              <w:rPr>
                <w:rFonts w:cs="Arial"/>
                <w:sz w:val="18"/>
                <w:szCs w:val="18"/>
              </w:rPr>
            </w:pPr>
          </w:p>
        </w:tc>
        <w:tc>
          <w:tcPr>
            <w:tcW w:w="1418" w:type="dxa"/>
            <w:tcBorders>
              <w:top w:val="single" w:sz="4" w:space="0" w:color="808080"/>
            </w:tcBorders>
            <w:shd w:val="clear" w:color="auto" w:fill="auto"/>
            <w:noWrap/>
            <w:vAlign w:val="bottom"/>
          </w:tcPr>
          <w:p w:rsidR="001C060E" w:rsidRPr="004C00D2" w:rsidRDefault="001C060E" w:rsidP="00EE4AA0">
            <w:pPr>
              <w:jc w:val="right"/>
              <w:rPr>
                <w:rFonts w:cs="Arial"/>
                <w:sz w:val="18"/>
                <w:szCs w:val="18"/>
              </w:rPr>
            </w:pPr>
          </w:p>
        </w:tc>
      </w:tr>
      <w:tr w:rsidR="001C060E" w:rsidRPr="004C00D2" w:rsidTr="001C060E">
        <w:trPr>
          <w:trHeight w:val="20"/>
          <w:jc w:val="center"/>
        </w:trPr>
        <w:tc>
          <w:tcPr>
            <w:tcW w:w="3402" w:type="dxa"/>
            <w:tcBorders>
              <w:right w:val="single" w:sz="4" w:space="0" w:color="808080"/>
            </w:tcBorders>
            <w:shd w:val="clear" w:color="auto" w:fill="auto"/>
            <w:noWrap/>
            <w:vAlign w:val="bottom"/>
            <w:hideMark/>
          </w:tcPr>
          <w:p w:rsidR="001C060E" w:rsidRPr="004C00D2" w:rsidRDefault="001C060E" w:rsidP="00EE4AA0">
            <w:pPr>
              <w:spacing w:before="40"/>
              <w:rPr>
                <w:rFonts w:cs="Arial"/>
                <w:b/>
                <w:sz w:val="18"/>
                <w:szCs w:val="18"/>
              </w:rPr>
            </w:pPr>
            <w:r w:rsidRPr="004C00D2">
              <w:rPr>
                <w:rFonts w:cs="Arial"/>
                <w:b/>
                <w:sz w:val="18"/>
                <w:szCs w:val="18"/>
              </w:rPr>
              <w:t>REPUBLIC OF SERBIA</w:t>
            </w:r>
          </w:p>
        </w:tc>
        <w:tc>
          <w:tcPr>
            <w:tcW w:w="1418" w:type="dxa"/>
            <w:tcBorders>
              <w:left w:val="single" w:sz="4" w:space="0" w:color="808080"/>
            </w:tcBorders>
            <w:shd w:val="clear" w:color="auto" w:fill="auto"/>
            <w:noWrap/>
            <w:vAlign w:val="bottom"/>
            <w:hideMark/>
          </w:tcPr>
          <w:p w:rsidR="001C060E" w:rsidRPr="004C00D2" w:rsidRDefault="001C060E" w:rsidP="00EE4AA0">
            <w:pPr>
              <w:spacing w:before="40"/>
              <w:ind w:right="284"/>
              <w:jc w:val="right"/>
              <w:rPr>
                <w:rFonts w:cs="Arial"/>
                <w:b/>
                <w:sz w:val="18"/>
                <w:szCs w:val="18"/>
              </w:rPr>
            </w:pPr>
            <w:r w:rsidRPr="004C00D2">
              <w:rPr>
                <w:rFonts w:cs="Arial"/>
                <w:b/>
                <w:sz w:val="18"/>
                <w:szCs w:val="18"/>
              </w:rPr>
              <w:t>425</w:t>
            </w:r>
          </w:p>
        </w:tc>
        <w:tc>
          <w:tcPr>
            <w:tcW w:w="1418" w:type="dxa"/>
            <w:shd w:val="clear" w:color="auto" w:fill="auto"/>
            <w:noWrap/>
            <w:vAlign w:val="bottom"/>
            <w:hideMark/>
          </w:tcPr>
          <w:p w:rsidR="001C060E" w:rsidRPr="004C00D2" w:rsidRDefault="001C060E" w:rsidP="00EE4AA0">
            <w:pPr>
              <w:spacing w:before="40"/>
              <w:ind w:right="284"/>
              <w:jc w:val="right"/>
              <w:rPr>
                <w:rFonts w:cs="Arial"/>
                <w:b/>
                <w:sz w:val="18"/>
                <w:szCs w:val="18"/>
              </w:rPr>
            </w:pPr>
            <w:r w:rsidRPr="004C00D2">
              <w:rPr>
                <w:rFonts w:cs="Arial"/>
                <w:b/>
                <w:sz w:val="18"/>
                <w:szCs w:val="18"/>
              </w:rPr>
              <w:t>317</w:t>
            </w:r>
          </w:p>
        </w:tc>
        <w:tc>
          <w:tcPr>
            <w:tcW w:w="1418" w:type="dxa"/>
            <w:shd w:val="clear" w:color="auto" w:fill="auto"/>
            <w:noWrap/>
            <w:vAlign w:val="bottom"/>
            <w:hideMark/>
          </w:tcPr>
          <w:p w:rsidR="001C060E" w:rsidRPr="004C00D2" w:rsidRDefault="001C060E" w:rsidP="00EE4AA0">
            <w:pPr>
              <w:spacing w:before="40"/>
              <w:ind w:right="284"/>
              <w:jc w:val="right"/>
              <w:rPr>
                <w:rFonts w:cs="Arial"/>
                <w:b/>
                <w:sz w:val="18"/>
                <w:szCs w:val="18"/>
              </w:rPr>
            </w:pPr>
            <w:r w:rsidRPr="004C00D2">
              <w:rPr>
                <w:rFonts w:cs="Arial"/>
                <w:b/>
                <w:sz w:val="18"/>
                <w:szCs w:val="18"/>
              </w:rPr>
              <w:t>44</w:t>
            </w:r>
          </w:p>
        </w:tc>
        <w:tc>
          <w:tcPr>
            <w:tcW w:w="1418" w:type="dxa"/>
            <w:shd w:val="clear" w:color="auto" w:fill="auto"/>
            <w:noWrap/>
            <w:vAlign w:val="bottom"/>
            <w:hideMark/>
          </w:tcPr>
          <w:p w:rsidR="001C060E" w:rsidRPr="004C00D2" w:rsidRDefault="001C060E" w:rsidP="00EE4AA0">
            <w:pPr>
              <w:spacing w:before="40"/>
              <w:ind w:right="284"/>
              <w:jc w:val="right"/>
              <w:rPr>
                <w:rFonts w:cs="Arial"/>
                <w:b/>
                <w:sz w:val="18"/>
                <w:szCs w:val="18"/>
              </w:rPr>
            </w:pPr>
            <w:r w:rsidRPr="004C00D2">
              <w:rPr>
                <w:rFonts w:cs="Arial"/>
                <w:b/>
                <w:sz w:val="18"/>
                <w:szCs w:val="18"/>
              </w:rPr>
              <w:t>64</w:t>
            </w:r>
          </w:p>
        </w:tc>
      </w:tr>
      <w:tr w:rsidR="001C060E" w:rsidRPr="004C00D2" w:rsidTr="001C060E">
        <w:trPr>
          <w:trHeight w:val="20"/>
          <w:jc w:val="center"/>
        </w:trPr>
        <w:tc>
          <w:tcPr>
            <w:tcW w:w="3402" w:type="dxa"/>
            <w:tcBorders>
              <w:right w:val="single" w:sz="4" w:space="0" w:color="808080"/>
            </w:tcBorders>
            <w:shd w:val="clear" w:color="auto" w:fill="auto"/>
            <w:noWrap/>
            <w:vAlign w:val="bottom"/>
            <w:hideMark/>
          </w:tcPr>
          <w:p w:rsidR="001C060E" w:rsidRPr="004C00D2" w:rsidRDefault="001C060E" w:rsidP="00EE4AA0">
            <w:pPr>
              <w:spacing w:before="40"/>
              <w:ind w:left="170"/>
              <w:rPr>
                <w:rFonts w:cs="Arial"/>
                <w:sz w:val="18"/>
                <w:szCs w:val="18"/>
              </w:rPr>
            </w:pPr>
            <w:r w:rsidRPr="004C00D2">
              <w:rPr>
                <w:rFonts w:cs="Arial"/>
                <w:sz w:val="18"/>
                <w:szCs w:val="18"/>
              </w:rPr>
              <w:t>Beogradski region</w:t>
            </w:r>
          </w:p>
        </w:tc>
        <w:tc>
          <w:tcPr>
            <w:tcW w:w="1418" w:type="dxa"/>
            <w:tcBorders>
              <w:left w:val="single" w:sz="4" w:space="0" w:color="808080"/>
            </w:tcBorders>
            <w:shd w:val="clear" w:color="auto" w:fill="auto"/>
            <w:noWrap/>
            <w:vAlign w:val="bottom"/>
            <w:hideMark/>
          </w:tcPr>
          <w:p w:rsidR="001C060E" w:rsidRPr="004C00D2" w:rsidRDefault="001C060E" w:rsidP="00EE4AA0">
            <w:pPr>
              <w:spacing w:before="40"/>
              <w:ind w:right="284"/>
              <w:jc w:val="right"/>
              <w:rPr>
                <w:rFonts w:cs="Arial"/>
                <w:sz w:val="18"/>
                <w:szCs w:val="18"/>
              </w:rPr>
            </w:pPr>
            <w:r w:rsidRPr="004C00D2">
              <w:rPr>
                <w:rFonts w:cs="Arial"/>
                <w:sz w:val="18"/>
                <w:szCs w:val="18"/>
              </w:rPr>
              <w:t>141</w:t>
            </w:r>
          </w:p>
        </w:tc>
        <w:tc>
          <w:tcPr>
            <w:tcW w:w="1418" w:type="dxa"/>
            <w:shd w:val="clear" w:color="auto" w:fill="auto"/>
            <w:noWrap/>
            <w:vAlign w:val="bottom"/>
            <w:hideMark/>
          </w:tcPr>
          <w:p w:rsidR="001C060E" w:rsidRPr="004C00D2" w:rsidRDefault="001C060E" w:rsidP="00EE4AA0">
            <w:pPr>
              <w:spacing w:before="40"/>
              <w:ind w:right="284"/>
              <w:jc w:val="right"/>
              <w:rPr>
                <w:rFonts w:cs="Arial"/>
                <w:sz w:val="18"/>
                <w:szCs w:val="18"/>
              </w:rPr>
            </w:pPr>
            <w:r w:rsidRPr="004C00D2">
              <w:rPr>
                <w:rFonts w:cs="Arial"/>
                <w:sz w:val="18"/>
                <w:szCs w:val="18"/>
              </w:rPr>
              <w:t>102</w:t>
            </w:r>
          </w:p>
        </w:tc>
        <w:tc>
          <w:tcPr>
            <w:tcW w:w="1418" w:type="dxa"/>
            <w:shd w:val="clear" w:color="auto" w:fill="auto"/>
            <w:noWrap/>
            <w:vAlign w:val="bottom"/>
            <w:hideMark/>
          </w:tcPr>
          <w:p w:rsidR="001C060E" w:rsidRPr="004C00D2" w:rsidRDefault="001C060E" w:rsidP="00EE4AA0">
            <w:pPr>
              <w:spacing w:before="40"/>
              <w:ind w:right="284"/>
              <w:jc w:val="right"/>
              <w:rPr>
                <w:rFonts w:cs="Arial"/>
                <w:sz w:val="18"/>
                <w:szCs w:val="18"/>
              </w:rPr>
            </w:pPr>
            <w:r w:rsidRPr="004C00D2">
              <w:rPr>
                <w:rFonts w:cs="Arial"/>
                <w:sz w:val="18"/>
                <w:szCs w:val="18"/>
              </w:rPr>
              <w:t>23</w:t>
            </w:r>
          </w:p>
        </w:tc>
        <w:tc>
          <w:tcPr>
            <w:tcW w:w="1418" w:type="dxa"/>
            <w:shd w:val="clear" w:color="auto" w:fill="auto"/>
            <w:noWrap/>
            <w:vAlign w:val="bottom"/>
            <w:hideMark/>
          </w:tcPr>
          <w:p w:rsidR="001C060E" w:rsidRPr="004C00D2" w:rsidRDefault="001C060E" w:rsidP="00EE4AA0">
            <w:pPr>
              <w:spacing w:before="40"/>
              <w:ind w:right="284"/>
              <w:jc w:val="right"/>
              <w:rPr>
                <w:rFonts w:cs="Arial"/>
                <w:sz w:val="18"/>
                <w:szCs w:val="18"/>
              </w:rPr>
            </w:pPr>
            <w:r w:rsidRPr="004C00D2">
              <w:rPr>
                <w:rFonts w:cs="Arial"/>
                <w:sz w:val="18"/>
                <w:szCs w:val="18"/>
              </w:rPr>
              <w:t>16</w:t>
            </w:r>
          </w:p>
        </w:tc>
      </w:tr>
      <w:tr w:rsidR="001C060E" w:rsidRPr="004C00D2" w:rsidTr="001C060E">
        <w:trPr>
          <w:trHeight w:val="20"/>
          <w:jc w:val="center"/>
        </w:trPr>
        <w:tc>
          <w:tcPr>
            <w:tcW w:w="3402" w:type="dxa"/>
            <w:tcBorders>
              <w:right w:val="single" w:sz="4" w:space="0" w:color="808080"/>
            </w:tcBorders>
            <w:shd w:val="clear" w:color="auto" w:fill="auto"/>
            <w:noWrap/>
            <w:vAlign w:val="bottom"/>
            <w:hideMark/>
          </w:tcPr>
          <w:p w:rsidR="001C060E" w:rsidRPr="004C00D2" w:rsidRDefault="001C060E" w:rsidP="00EE4AA0">
            <w:pPr>
              <w:spacing w:before="40"/>
              <w:ind w:left="170"/>
              <w:rPr>
                <w:rFonts w:cs="Arial"/>
                <w:sz w:val="18"/>
                <w:szCs w:val="18"/>
              </w:rPr>
            </w:pPr>
            <w:r w:rsidRPr="004C00D2">
              <w:rPr>
                <w:rFonts w:cs="Arial"/>
                <w:sz w:val="18"/>
                <w:szCs w:val="18"/>
              </w:rPr>
              <w:t>Region Vojvodine</w:t>
            </w:r>
          </w:p>
        </w:tc>
        <w:tc>
          <w:tcPr>
            <w:tcW w:w="1418" w:type="dxa"/>
            <w:tcBorders>
              <w:left w:val="single" w:sz="4" w:space="0" w:color="808080"/>
            </w:tcBorders>
            <w:shd w:val="clear" w:color="auto" w:fill="auto"/>
            <w:noWrap/>
            <w:vAlign w:val="bottom"/>
            <w:hideMark/>
          </w:tcPr>
          <w:p w:rsidR="001C060E" w:rsidRPr="004C00D2" w:rsidRDefault="001C060E" w:rsidP="00EE4AA0">
            <w:pPr>
              <w:spacing w:before="40"/>
              <w:ind w:right="284"/>
              <w:jc w:val="right"/>
              <w:rPr>
                <w:rFonts w:cs="Arial"/>
                <w:sz w:val="18"/>
                <w:szCs w:val="18"/>
              </w:rPr>
            </w:pPr>
            <w:r w:rsidRPr="004C00D2">
              <w:rPr>
                <w:rFonts w:cs="Arial"/>
                <w:sz w:val="18"/>
                <w:szCs w:val="18"/>
              </w:rPr>
              <w:t>110</w:t>
            </w:r>
          </w:p>
        </w:tc>
        <w:tc>
          <w:tcPr>
            <w:tcW w:w="1418" w:type="dxa"/>
            <w:shd w:val="clear" w:color="auto" w:fill="auto"/>
            <w:noWrap/>
            <w:vAlign w:val="bottom"/>
            <w:hideMark/>
          </w:tcPr>
          <w:p w:rsidR="001C060E" w:rsidRPr="004C00D2" w:rsidRDefault="001C060E" w:rsidP="00EE4AA0">
            <w:pPr>
              <w:spacing w:before="40"/>
              <w:ind w:right="284"/>
              <w:jc w:val="right"/>
              <w:rPr>
                <w:rFonts w:cs="Arial"/>
                <w:sz w:val="18"/>
                <w:szCs w:val="18"/>
              </w:rPr>
            </w:pPr>
            <w:r w:rsidRPr="004C00D2">
              <w:rPr>
                <w:rFonts w:cs="Arial"/>
                <w:sz w:val="18"/>
                <w:szCs w:val="18"/>
              </w:rPr>
              <w:t>89</w:t>
            </w:r>
          </w:p>
        </w:tc>
        <w:tc>
          <w:tcPr>
            <w:tcW w:w="1418" w:type="dxa"/>
            <w:shd w:val="clear" w:color="auto" w:fill="auto"/>
            <w:noWrap/>
            <w:vAlign w:val="bottom"/>
            <w:hideMark/>
          </w:tcPr>
          <w:p w:rsidR="001C060E" w:rsidRPr="004C00D2" w:rsidRDefault="001C060E" w:rsidP="00EE4AA0">
            <w:pPr>
              <w:spacing w:before="40"/>
              <w:ind w:right="284"/>
              <w:jc w:val="right"/>
              <w:rPr>
                <w:rFonts w:cs="Arial"/>
                <w:sz w:val="18"/>
                <w:szCs w:val="18"/>
              </w:rPr>
            </w:pPr>
            <w:r w:rsidRPr="004C00D2">
              <w:rPr>
                <w:rFonts w:cs="Arial"/>
                <w:sz w:val="18"/>
                <w:szCs w:val="18"/>
              </w:rPr>
              <w:t>3</w:t>
            </w:r>
          </w:p>
        </w:tc>
        <w:tc>
          <w:tcPr>
            <w:tcW w:w="1418" w:type="dxa"/>
            <w:shd w:val="clear" w:color="auto" w:fill="auto"/>
            <w:noWrap/>
            <w:vAlign w:val="bottom"/>
            <w:hideMark/>
          </w:tcPr>
          <w:p w:rsidR="001C060E" w:rsidRPr="004C00D2" w:rsidRDefault="001C060E" w:rsidP="00EE4AA0">
            <w:pPr>
              <w:spacing w:before="40"/>
              <w:ind w:right="284"/>
              <w:jc w:val="right"/>
              <w:rPr>
                <w:rFonts w:cs="Arial"/>
                <w:sz w:val="18"/>
                <w:szCs w:val="18"/>
              </w:rPr>
            </w:pPr>
            <w:r w:rsidRPr="004C00D2">
              <w:rPr>
                <w:rFonts w:cs="Arial"/>
                <w:sz w:val="18"/>
                <w:szCs w:val="18"/>
              </w:rPr>
              <w:t>18</w:t>
            </w:r>
          </w:p>
        </w:tc>
      </w:tr>
      <w:tr w:rsidR="001C060E" w:rsidRPr="004C00D2" w:rsidTr="001C060E">
        <w:trPr>
          <w:trHeight w:val="20"/>
          <w:jc w:val="center"/>
        </w:trPr>
        <w:tc>
          <w:tcPr>
            <w:tcW w:w="3402" w:type="dxa"/>
            <w:tcBorders>
              <w:right w:val="single" w:sz="4" w:space="0" w:color="808080"/>
            </w:tcBorders>
            <w:shd w:val="clear" w:color="auto" w:fill="auto"/>
            <w:noWrap/>
            <w:vAlign w:val="bottom"/>
            <w:hideMark/>
          </w:tcPr>
          <w:p w:rsidR="001C060E" w:rsidRPr="004C00D2" w:rsidRDefault="001C060E" w:rsidP="00EE4AA0">
            <w:pPr>
              <w:spacing w:before="40"/>
              <w:ind w:left="170"/>
              <w:rPr>
                <w:rFonts w:cs="Arial"/>
                <w:sz w:val="18"/>
                <w:szCs w:val="18"/>
              </w:rPr>
            </w:pPr>
            <w:r w:rsidRPr="004C00D2">
              <w:rPr>
                <w:rFonts w:cs="Arial"/>
                <w:sz w:val="18"/>
                <w:szCs w:val="18"/>
              </w:rPr>
              <w:t>Region Šumadije i Zapadne Srbije</w:t>
            </w:r>
          </w:p>
        </w:tc>
        <w:tc>
          <w:tcPr>
            <w:tcW w:w="1418" w:type="dxa"/>
            <w:tcBorders>
              <w:left w:val="single" w:sz="4" w:space="0" w:color="808080"/>
            </w:tcBorders>
            <w:shd w:val="clear" w:color="auto" w:fill="auto"/>
            <w:noWrap/>
            <w:vAlign w:val="bottom"/>
            <w:hideMark/>
          </w:tcPr>
          <w:p w:rsidR="001C060E" w:rsidRPr="004C00D2" w:rsidRDefault="001C060E" w:rsidP="00EE4AA0">
            <w:pPr>
              <w:spacing w:before="40"/>
              <w:ind w:right="284"/>
              <w:jc w:val="right"/>
              <w:rPr>
                <w:rFonts w:cs="Arial"/>
                <w:sz w:val="18"/>
                <w:szCs w:val="18"/>
              </w:rPr>
            </w:pPr>
            <w:r w:rsidRPr="004C00D2">
              <w:rPr>
                <w:rFonts w:cs="Arial"/>
                <w:sz w:val="18"/>
                <w:szCs w:val="18"/>
              </w:rPr>
              <w:t>97</w:t>
            </w:r>
          </w:p>
        </w:tc>
        <w:tc>
          <w:tcPr>
            <w:tcW w:w="1418" w:type="dxa"/>
            <w:shd w:val="clear" w:color="auto" w:fill="auto"/>
            <w:noWrap/>
            <w:vAlign w:val="bottom"/>
            <w:hideMark/>
          </w:tcPr>
          <w:p w:rsidR="001C060E" w:rsidRPr="004C00D2" w:rsidRDefault="001C060E" w:rsidP="00EE4AA0">
            <w:pPr>
              <w:spacing w:before="40"/>
              <w:ind w:right="284"/>
              <w:jc w:val="right"/>
              <w:rPr>
                <w:rFonts w:cs="Arial"/>
                <w:sz w:val="18"/>
                <w:szCs w:val="18"/>
              </w:rPr>
            </w:pPr>
            <w:r w:rsidRPr="004C00D2">
              <w:rPr>
                <w:rFonts w:cs="Arial"/>
                <w:sz w:val="18"/>
                <w:szCs w:val="18"/>
              </w:rPr>
              <w:t>70</w:t>
            </w:r>
          </w:p>
        </w:tc>
        <w:tc>
          <w:tcPr>
            <w:tcW w:w="1418" w:type="dxa"/>
            <w:shd w:val="clear" w:color="auto" w:fill="auto"/>
            <w:noWrap/>
            <w:vAlign w:val="bottom"/>
            <w:hideMark/>
          </w:tcPr>
          <w:p w:rsidR="001C060E" w:rsidRPr="004C00D2" w:rsidRDefault="001C060E" w:rsidP="00EE4AA0">
            <w:pPr>
              <w:spacing w:before="40"/>
              <w:ind w:right="284"/>
              <w:jc w:val="right"/>
              <w:rPr>
                <w:rFonts w:cs="Arial"/>
                <w:sz w:val="18"/>
                <w:szCs w:val="18"/>
              </w:rPr>
            </w:pPr>
            <w:r w:rsidRPr="004C00D2">
              <w:rPr>
                <w:rFonts w:cs="Arial"/>
                <w:sz w:val="18"/>
                <w:szCs w:val="18"/>
              </w:rPr>
              <w:t>9</w:t>
            </w:r>
          </w:p>
        </w:tc>
        <w:tc>
          <w:tcPr>
            <w:tcW w:w="1418" w:type="dxa"/>
            <w:shd w:val="clear" w:color="auto" w:fill="auto"/>
            <w:noWrap/>
            <w:vAlign w:val="bottom"/>
            <w:hideMark/>
          </w:tcPr>
          <w:p w:rsidR="001C060E" w:rsidRPr="004C00D2" w:rsidRDefault="001C060E" w:rsidP="00EE4AA0">
            <w:pPr>
              <w:spacing w:before="40"/>
              <w:ind w:right="284"/>
              <w:jc w:val="right"/>
              <w:rPr>
                <w:rFonts w:cs="Arial"/>
                <w:sz w:val="18"/>
                <w:szCs w:val="18"/>
              </w:rPr>
            </w:pPr>
            <w:r w:rsidRPr="004C00D2">
              <w:rPr>
                <w:rFonts w:cs="Arial"/>
                <w:sz w:val="18"/>
                <w:szCs w:val="18"/>
              </w:rPr>
              <w:t>18</w:t>
            </w:r>
          </w:p>
        </w:tc>
      </w:tr>
      <w:tr w:rsidR="001C060E" w:rsidRPr="004C00D2" w:rsidTr="001C060E">
        <w:trPr>
          <w:trHeight w:val="20"/>
          <w:jc w:val="center"/>
        </w:trPr>
        <w:tc>
          <w:tcPr>
            <w:tcW w:w="3402" w:type="dxa"/>
            <w:tcBorders>
              <w:right w:val="single" w:sz="4" w:space="0" w:color="808080"/>
            </w:tcBorders>
            <w:shd w:val="clear" w:color="auto" w:fill="auto"/>
            <w:noWrap/>
            <w:vAlign w:val="bottom"/>
            <w:hideMark/>
          </w:tcPr>
          <w:p w:rsidR="001C060E" w:rsidRPr="004C00D2" w:rsidRDefault="001C060E" w:rsidP="00EE4AA0">
            <w:pPr>
              <w:spacing w:before="40"/>
              <w:ind w:left="170"/>
              <w:rPr>
                <w:rFonts w:cs="Arial"/>
                <w:sz w:val="18"/>
                <w:szCs w:val="18"/>
              </w:rPr>
            </w:pPr>
            <w:r w:rsidRPr="004C00D2">
              <w:rPr>
                <w:rFonts w:cs="Arial"/>
                <w:sz w:val="18"/>
                <w:szCs w:val="18"/>
              </w:rPr>
              <w:t>Region Južne i Istočne Srbije</w:t>
            </w:r>
          </w:p>
        </w:tc>
        <w:tc>
          <w:tcPr>
            <w:tcW w:w="1418" w:type="dxa"/>
            <w:tcBorders>
              <w:left w:val="single" w:sz="4" w:space="0" w:color="808080"/>
            </w:tcBorders>
            <w:shd w:val="clear" w:color="auto" w:fill="auto"/>
            <w:noWrap/>
            <w:vAlign w:val="bottom"/>
            <w:hideMark/>
          </w:tcPr>
          <w:p w:rsidR="001C060E" w:rsidRPr="004C00D2" w:rsidRDefault="001C060E" w:rsidP="00EE4AA0">
            <w:pPr>
              <w:spacing w:before="40"/>
              <w:ind w:right="284"/>
              <w:jc w:val="right"/>
              <w:rPr>
                <w:rFonts w:cs="Arial"/>
                <w:sz w:val="18"/>
                <w:szCs w:val="18"/>
              </w:rPr>
            </w:pPr>
            <w:r w:rsidRPr="004C00D2">
              <w:rPr>
                <w:rFonts w:cs="Arial"/>
                <w:sz w:val="18"/>
                <w:szCs w:val="18"/>
              </w:rPr>
              <w:t>77</w:t>
            </w:r>
          </w:p>
        </w:tc>
        <w:tc>
          <w:tcPr>
            <w:tcW w:w="1418" w:type="dxa"/>
            <w:shd w:val="clear" w:color="auto" w:fill="auto"/>
            <w:noWrap/>
            <w:vAlign w:val="bottom"/>
            <w:hideMark/>
          </w:tcPr>
          <w:p w:rsidR="001C060E" w:rsidRPr="004C00D2" w:rsidRDefault="001C060E" w:rsidP="00EE4AA0">
            <w:pPr>
              <w:spacing w:before="40"/>
              <w:ind w:right="284"/>
              <w:jc w:val="right"/>
              <w:rPr>
                <w:rFonts w:cs="Arial"/>
                <w:sz w:val="18"/>
                <w:szCs w:val="18"/>
              </w:rPr>
            </w:pPr>
            <w:r w:rsidRPr="004C00D2">
              <w:rPr>
                <w:rFonts w:cs="Arial"/>
                <w:sz w:val="18"/>
                <w:szCs w:val="18"/>
              </w:rPr>
              <w:t>56</w:t>
            </w:r>
          </w:p>
        </w:tc>
        <w:tc>
          <w:tcPr>
            <w:tcW w:w="1418" w:type="dxa"/>
            <w:shd w:val="clear" w:color="auto" w:fill="auto"/>
            <w:noWrap/>
            <w:vAlign w:val="bottom"/>
            <w:hideMark/>
          </w:tcPr>
          <w:p w:rsidR="001C060E" w:rsidRPr="004C00D2" w:rsidRDefault="001C060E" w:rsidP="00EE4AA0">
            <w:pPr>
              <w:spacing w:before="40"/>
              <w:ind w:right="284"/>
              <w:jc w:val="right"/>
              <w:rPr>
                <w:rFonts w:cs="Arial"/>
                <w:sz w:val="18"/>
                <w:szCs w:val="18"/>
              </w:rPr>
            </w:pPr>
            <w:r w:rsidRPr="004C00D2">
              <w:rPr>
                <w:rFonts w:cs="Arial"/>
                <w:sz w:val="18"/>
                <w:szCs w:val="18"/>
              </w:rPr>
              <w:t>9</w:t>
            </w:r>
          </w:p>
        </w:tc>
        <w:tc>
          <w:tcPr>
            <w:tcW w:w="1418" w:type="dxa"/>
            <w:shd w:val="clear" w:color="auto" w:fill="auto"/>
            <w:noWrap/>
            <w:vAlign w:val="bottom"/>
            <w:hideMark/>
          </w:tcPr>
          <w:p w:rsidR="001C060E" w:rsidRPr="004C00D2" w:rsidRDefault="001C060E" w:rsidP="00EE4AA0">
            <w:pPr>
              <w:spacing w:before="40"/>
              <w:ind w:right="284"/>
              <w:jc w:val="right"/>
              <w:rPr>
                <w:rFonts w:cs="Arial"/>
                <w:sz w:val="18"/>
                <w:szCs w:val="18"/>
              </w:rPr>
            </w:pPr>
            <w:r w:rsidRPr="004C00D2">
              <w:rPr>
                <w:rFonts w:cs="Arial"/>
                <w:sz w:val="18"/>
                <w:szCs w:val="18"/>
              </w:rPr>
              <w:t>12</w:t>
            </w:r>
          </w:p>
        </w:tc>
      </w:tr>
      <w:tr w:rsidR="001C060E" w:rsidRPr="004C00D2" w:rsidTr="001C060E">
        <w:trPr>
          <w:trHeight w:val="20"/>
          <w:jc w:val="center"/>
        </w:trPr>
        <w:tc>
          <w:tcPr>
            <w:tcW w:w="3402" w:type="dxa"/>
            <w:tcBorders>
              <w:right w:val="single" w:sz="4" w:space="0" w:color="808080"/>
            </w:tcBorders>
            <w:shd w:val="clear" w:color="auto" w:fill="auto"/>
            <w:noWrap/>
            <w:vAlign w:val="bottom"/>
          </w:tcPr>
          <w:p w:rsidR="001C060E" w:rsidRPr="004C00D2" w:rsidRDefault="001C060E" w:rsidP="00EE4AA0">
            <w:pPr>
              <w:spacing w:before="40"/>
              <w:ind w:left="170"/>
              <w:rPr>
                <w:rFonts w:cs="Arial"/>
                <w:sz w:val="18"/>
                <w:szCs w:val="18"/>
              </w:rPr>
            </w:pPr>
            <w:r w:rsidRPr="004C00D2">
              <w:rPr>
                <w:rFonts w:cs="Arial"/>
                <w:sz w:val="18"/>
                <w:szCs w:val="18"/>
              </w:rPr>
              <w:t>Region Kosovo i Metohija</w:t>
            </w:r>
          </w:p>
        </w:tc>
        <w:tc>
          <w:tcPr>
            <w:tcW w:w="1418" w:type="dxa"/>
            <w:tcBorders>
              <w:left w:val="single" w:sz="4" w:space="0" w:color="808080"/>
            </w:tcBorders>
            <w:shd w:val="clear" w:color="auto" w:fill="auto"/>
            <w:noWrap/>
            <w:vAlign w:val="bottom"/>
          </w:tcPr>
          <w:p w:rsidR="001C060E" w:rsidRPr="004C00D2" w:rsidRDefault="001C060E" w:rsidP="00EE4AA0">
            <w:pPr>
              <w:spacing w:before="40"/>
              <w:ind w:right="284"/>
              <w:jc w:val="right"/>
              <w:rPr>
                <w:rFonts w:cs="Arial"/>
                <w:sz w:val="18"/>
                <w:szCs w:val="18"/>
              </w:rPr>
            </w:pPr>
            <w:r w:rsidRPr="004C00D2">
              <w:rPr>
                <w:rFonts w:cs="Arial"/>
                <w:sz w:val="18"/>
                <w:szCs w:val="18"/>
              </w:rPr>
              <w:t>...</w:t>
            </w:r>
          </w:p>
        </w:tc>
        <w:tc>
          <w:tcPr>
            <w:tcW w:w="1418" w:type="dxa"/>
            <w:shd w:val="clear" w:color="auto" w:fill="auto"/>
            <w:noWrap/>
            <w:vAlign w:val="bottom"/>
          </w:tcPr>
          <w:p w:rsidR="001C060E" w:rsidRPr="004C00D2" w:rsidRDefault="001C060E" w:rsidP="00EE4AA0">
            <w:pPr>
              <w:spacing w:before="40"/>
              <w:ind w:right="284"/>
              <w:jc w:val="right"/>
              <w:rPr>
                <w:rFonts w:cs="Arial"/>
                <w:sz w:val="18"/>
                <w:szCs w:val="18"/>
              </w:rPr>
            </w:pPr>
            <w:r w:rsidRPr="004C00D2">
              <w:rPr>
                <w:rFonts w:cs="Arial"/>
                <w:sz w:val="18"/>
                <w:szCs w:val="18"/>
              </w:rPr>
              <w:t>...</w:t>
            </w:r>
          </w:p>
        </w:tc>
        <w:tc>
          <w:tcPr>
            <w:tcW w:w="1418" w:type="dxa"/>
            <w:shd w:val="clear" w:color="auto" w:fill="auto"/>
            <w:noWrap/>
            <w:vAlign w:val="bottom"/>
          </w:tcPr>
          <w:p w:rsidR="001C060E" w:rsidRPr="004C00D2" w:rsidRDefault="001C060E" w:rsidP="00EE4AA0">
            <w:pPr>
              <w:spacing w:before="40"/>
              <w:ind w:right="284"/>
              <w:jc w:val="right"/>
              <w:rPr>
                <w:rFonts w:cs="Arial"/>
                <w:sz w:val="18"/>
                <w:szCs w:val="18"/>
              </w:rPr>
            </w:pPr>
            <w:r w:rsidRPr="004C00D2">
              <w:rPr>
                <w:rFonts w:cs="Arial"/>
                <w:sz w:val="18"/>
                <w:szCs w:val="18"/>
              </w:rPr>
              <w:t>...</w:t>
            </w:r>
          </w:p>
        </w:tc>
        <w:tc>
          <w:tcPr>
            <w:tcW w:w="1418" w:type="dxa"/>
            <w:shd w:val="clear" w:color="auto" w:fill="auto"/>
            <w:noWrap/>
            <w:vAlign w:val="bottom"/>
          </w:tcPr>
          <w:p w:rsidR="001C060E" w:rsidRPr="004C00D2" w:rsidRDefault="001C060E" w:rsidP="00EE4AA0">
            <w:pPr>
              <w:spacing w:before="40"/>
              <w:ind w:right="284"/>
              <w:jc w:val="right"/>
              <w:rPr>
                <w:rFonts w:cs="Arial"/>
                <w:sz w:val="18"/>
                <w:szCs w:val="18"/>
              </w:rPr>
            </w:pPr>
            <w:r w:rsidRPr="004C00D2">
              <w:rPr>
                <w:rFonts w:cs="Arial"/>
                <w:sz w:val="18"/>
                <w:szCs w:val="18"/>
              </w:rPr>
              <w:t>...</w:t>
            </w:r>
          </w:p>
        </w:tc>
      </w:tr>
    </w:tbl>
    <w:p w:rsidR="00364CB7" w:rsidRPr="00A4055A" w:rsidRDefault="00364CB7" w:rsidP="00364CB7">
      <w:pPr>
        <w:spacing w:after="200" w:line="276" w:lineRule="auto"/>
        <w:rPr>
          <w:rFonts w:cs="Arial"/>
          <w:color w:val="FF0000"/>
          <w:lang w:val="sr-Cyrl-RS"/>
        </w:rPr>
      </w:pPr>
      <w:r>
        <w:rPr>
          <w:rFonts w:cs="Arial"/>
          <w:noProof/>
          <w:color w:val="FF0000"/>
        </w:rPr>
        <mc:AlternateContent>
          <mc:Choice Requires="wps">
            <w:drawing>
              <wp:anchor distT="0" distB="0" distL="114300" distR="114300" simplePos="0" relativeHeight="251659776" behindDoc="0" locked="0" layoutInCell="1" allowOverlap="1" wp14:anchorId="2C945572" wp14:editId="519ED3EC">
                <wp:simplePos x="0" y="0"/>
                <wp:positionH relativeFrom="column">
                  <wp:posOffset>374015</wp:posOffset>
                </wp:positionH>
                <wp:positionV relativeFrom="paragraph">
                  <wp:posOffset>196215</wp:posOffset>
                </wp:positionV>
                <wp:extent cx="94615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946150" cy="0"/>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9F0808" id="Straight Connector 6"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9.45pt,15.45pt" to="103.9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" strokecolor="#7f7f7f [1612]" strokeweight=".25pt">
                <v:stroke joinstyle="miter"/>
              </v:line>
            </w:pict>
          </mc:Fallback>
        </mc:AlternateContent>
      </w:r>
    </w:p>
    <w:p w:rsidR="00364CB7" w:rsidRPr="00364CB7" w:rsidRDefault="00364CB7" w:rsidP="00364CB7">
      <w:pPr>
        <w:ind w:left="737" w:right="567" w:hanging="170"/>
        <w:jc w:val="both"/>
        <w:rPr>
          <w:rFonts w:cs="Arial"/>
          <w:sz w:val="15"/>
          <w:szCs w:val="15"/>
          <w:lang w:val="en-US"/>
        </w:rPr>
      </w:pPr>
      <w:r w:rsidRPr="00615EE3">
        <w:rPr>
          <w:rFonts w:cs="Arial"/>
          <w:sz w:val="15"/>
          <w:szCs w:val="15"/>
          <w:vertAlign w:val="superscript"/>
        </w:rPr>
        <w:t>1)</w:t>
      </w:r>
      <w:r w:rsidRPr="00615EE3">
        <w:rPr>
          <w:rFonts w:cs="Arial"/>
          <w:sz w:val="15"/>
          <w:szCs w:val="15"/>
        </w:rPr>
        <w:t xml:space="preserve"> </w:t>
      </w:r>
      <w:r w:rsidRPr="00364CB7">
        <w:rPr>
          <w:rFonts w:cs="Arial"/>
          <w:sz w:val="15"/>
          <w:szCs w:val="15"/>
          <w:lang w:val="en-US"/>
        </w:rPr>
        <w:t>Water quantities distributed to industrial sector comprise the reporting units from the following sections: Мining and quarrying; Мanufacturing; Еlectricity, gas, steam and air conditioning supply.</w:t>
      </w:r>
    </w:p>
    <w:p w:rsidR="00364CB7" w:rsidRPr="00364CB7" w:rsidRDefault="00364CB7" w:rsidP="00364CB7">
      <w:pPr>
        <w:spacing w:before="60"/>
        <w:ind w:left="737" w:right="567" w:hanging="170"/>
        <w:jc w:val="both"/>
        <w:rPr>
          <w:rFonts w:cs="Arial"/>
          <w:b/>
          <w:bCs/>
          <w:sz w:val="15"/>
          <w:szCs w:val="15"/>
          <w:lang w:val="en-US"/>
        </w:rPr>
      </w:pPr>
      <w:r w:rsidRPr="00615EE3">
        <w:rPr>
          <w:rFonts w:cs="Arial"/>
          <w:sz w:val="15"/>
          <w:szCs w:val="15"/>
          <w:vertAlign w:val="superscript"/>
        </w:rPr>
        <w:t>2)</w:t>
      </w:r>
      <w:r w:rsidRPr="00615EE3">
        <w:rPr>
          <w:rFonts w:cs="Arial"/>
          <w:sz w:val="15"/>
          <w:szCs w:val="15"/>
        </w:rPr>
        <w:t xml:space="preserve"> </w:t>
      </w:r>
      <w:r w:rsidRPr="00364CB7">
        <w:rPr>
          <w:rFonts w:cs="Arial"/>
          <w:sz w:val="15"/>
          <w:szCs w:val="15"/>
          <w:lang w:val="en-US"/>
        </w:rPr>
        <w:t>Water quantities distributed to other users comprise the reporting units from the following sections: Аgriculture, forestry and fishing; Construction and services activities.</w:t>
      </w:r>
    </w:p>
    <w:p w:rsidR="007C6048" w:rsidRPr="004C00D2" w:rsidRDefault="007C6048" w:rsidP="008D577E">
      <w:pPr>
        <w:spacing w:before="120" w:after="120" w:line="264" w:lineRule="auto"/>
        <w:ind w:firstLine="397"/>
        <w:jc w:val="both"/>
        <w:rPr>
          <w:rFonts w:cs="Arial"/>
          <w:szCs w:val="20"/>
        </w:rPr>
      </w:pPr>
    </w:p>
    <w:p w:rsidR="007C6048" w:rsidRPr="004C00D2" w:rsidRDefault="007C6048" w:rsidP="008D577E">
      <w:pPr>
        <w:spacing w:before="120" w:after="120" w:line="264" w:lineRule="auto"/>
        <w:ind w:firstLine="397"/>
        <w:jc w:val="both"/>
        <w:rPr>
          <w:rFonts w:cs="Arial"/>
          <w:szCs w:val="20"/>
        </w:rPr>
      </w:pPr>
      <w:bookmarkStart w:id="0" w:name="_GoBack"/>
      <w:bookmarkEnd w:id="0"/>
    </w:p>
    <w:p w:rsidR="00347C57" w:rsidRPr="004C00D2" w:rsidRDefault="00347C57" w:rsidP="00347C57">
      <w:pPr>
        <w:spacing w:before="120" w:after="120"/>
        <w:ind w:firstLine="397"/>
        <w:jc w:val="both"/>
        <w:rPr>
          <w:rFonts w:cs="Arial"/>
          <w:bCs/>
          <w:szCs w:val="20"/>
        </w:rPr>
      </w:pPr>
      <w:r w:rsidRPr="004C00D2">
        <w:rPr>
          <w:rFonts w:cs="Arial"/>
          <w:bCs/>
        </w:rPr>
        <w:t>Methodological explanations on drinking water supply can be found on SORS website:</w:t>
      </w:r>
      <w:r w:rsidRPr="004C00D2">
        <w:rPr>
          <w:rFonts w:ascii="Arial Narrow" w:hAnsi="Arial Narrow" w:cs="Arial"/>
          <w:bCs/>
        </w:rPr>
        <w:t xml:space="preserve"> </w:t>
      </w:r>
      <w:hyperlink r:id="rId9" w:history="1">
        <w:r w:rsidRPr="004C00D2">
          <w:rPr>
            <w:rStyle w:val="Hyperlink"/>
            <w:rFonts w:cs="Arial"/>
            <w:bCs/>
            <w:szCs w:val="20"/>
          </w:rPr>
          <w:t>http://www.stat.gov.rs/sr-latn/istrazivanja/methodology-and-documents/?a=25&amp;s=2501</w:t>
        </w:r>
      </w:hyperlink>
      <w:r w:rsidRPr="004C00D2">
        <w:rPr>
          <w:rFonts w:cs="Arial"/>
          <w:bCs/>
          <w:szCs w:val="20"/>
        </w:rPr>
        <w:t>.</w:t>
      </w:r>
    </w:p>
    <w:p w:rsidR="00347C57" w:rsidRPr="004C00D2" w:rsidRDefault="00347C57" w:rsidP="00347C57">
      <w:pPr>
        <w:spacing w:before="120" w:after="120"/>
        <w:ind w:firstLine="397"/>
        <w:jc w:val="both"/>
        <w:rPr>
          <w:rFonts w:cs="Arial"/>
          <w:bCs/>
          <w:szCs w:val="20"/>
        </w:rPr>
      </w:pPr>
      <w:r w:rsidRPr="004C00D2">
        <w:rPr>
          <w:rFonts w:cs="Arial"/>
          <w:bCs/>
        </w:rPr>
        <w:t>Data series on drinking water supply from the reference year</w:t>
      </w:r>
      <w:r w:rsidRPr="004C00D2">
        <w:rPr>
          <w:rFonts w:cs="Arial"/>
          <w:bCs/>
          <w:color w:val="FF0000"/>
        </w:rPr>
        <w:t xml:space="preserve"> </w:t>
      </w:r>
      <w:r w:rsidRPr="004C00D2">
        <w:rPr>
          <w:rFonts w:cs="Arial"/>
          <w:bCs/>
        </w:rPr>
        <w:t xml:space="preserve">2007 are available within SORS database: </w:t>
      </w:r>
      <w:hyperlink r:id="rId10" w:history="1">
        <w:r w:rsidRPr="004C00D2">
          <w:rPr>
            <w:rStyle w:val="Hyperlink"/>
            <w:rFonts w:cs="Arial"/>
            <w:bCs/>
            <w:szCs w:val="20"/>
          </w:rPr>
          <w:t>http://data.stat.gov.rs/?caller=2501&amp;languageCode=sr-Latn</w:t>
        </w:r>
      </w:hyperlink>
      <w:r w:rsidRPr="004C00D2">
        <w:rPr>
          <w:rFonts w:cs="Arial"/>
          <w:bCs/>
          <w:szCs w:val="20"/>
        </w:rPr>
        <w:t>,</w:t>
      </w:r>
      <w:r w:rsidRPr="004C00D2">
        <w:rPr>
          <w:rFonts w:cs="Arial"/>
          <w:bCs/>
        </w:rPr>
        <w:t xml:space="preserve"> as well as in publications: </w:t>
      </w:r>
      <w:hyperlink r:id="rId11" w:history="1">
        <w:r w:rsidRPr="004C00D2">
          <w:rPr>
            <w:rStyle w:val="Hyperlink"/>
            <w:rFonts w:cs="Arial"/>
            <w:bCs/>
            <w:szCs w:val="20"/>
          </w:rPr>
          <w:t>http://www.stat.gov.rs/sr-latn/oblasti/zivotna-sredina/</w:t>
        </w:r>
      </w:hyperlink>
      <w:r w:rsidRPr="004C00D2">
        <w:rPr>
          <w:rFonts w:cs="Arial"/>
          <w:bCs/>
          <w:szCs w:val="20"/>
        </w:rPr>
        <w:t>.</w:t>
      </w:r>
    </w:p>
    <w:p w:rsidR="00347C57" w:rsidRPr="004C00D2" w:rsidRDefault="00347C57" w:rsidP="00347C57">
      <w:pPr>
        <w:spacing w:before="120"/>
        <w:ind w:firstLine="397"/>
        <w:jc w:val="both"/>
        <w:rPr>
          <w:rFonts w:cs="Arial"/>
          <w:b/>
        </w:rPr>
      </w:pPr>
      <w:r w:rsidRPr="004C00D2">
        <w:rPr>
          <w:rFonts w:cs="Arial"/>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7C6048" w:rsidRPr="004C00D2" w:rsidRDefault="007C6048" w:rsidP="008D577E">
      <w:pPr>
        <w:spacing w:before="120" w:after="120" w:line="264" w:lineRule="auto"/>
        <w:ind w:firstLine="397"/>
        <w:jc w:val="both"/>
        <w:rPr>
          <w:rFonts w:cs="Arial"/>
          <w:szCs w:val="20"/>
        </w:rPr>
      </w:pPr>
    </w:p>
    <w:p w:rsidR="00103090" w:rsidRPr="004C00D2" w:rsidRDefault="00103090" w:rsidP="006A7E8E"/>
    <w:p w:rsidR="00103090" w:rsidRPr="004C00D2" w:rsidRDefault="00103090" w:rsidP="006A7E8E"/>
    <w:p w:rsidR="00103090" w:rsidRPr="004C00D2" w:rsidRDefault="00103090" w:rsidP="006A7E8E"/>
    <w:p w:rsidR="00103090" w:rsidRPr="004C00D2" w:rsidRDefault="00103090" w:rsidP="006A7E8E"/>
    <w:p w:rsidR="00103090" w:rsidRPr="004C00D2" w:rsidRDefault="00103090" w:rsidP="006A7E8E"/>
    <w:p w:rsidR="00103090" w:rsidRPr="004C00D2" w:rsidRDefault="00103090" w:rsidP="006A7E8E"/>
    <w:p w:rsidR="00103090" w:rsidRPr="004C00D2" w:rsidRDefault="00103090" w:rsidP="006A7E8E"/>
    <w:p w:rsidR="00103090" w:rsidRPr="004C00D2" w:rsidRDefault="00103090" w:rsidP="006A7E8E"/>
    <w:p w:rsidR="00103090" w:rsidRPr="004C00D2" w:rsidRDefault="00103090" w:rsidP="006A7E8E"/>
    <w:p w:rsidR="00103090" w:rsidRPr="004C00D2" w:rsidRDefault="00103090" w:rsidP="006A7E8E"/>
    <w:p w:rsidR="00103090" w:rsidRPr="004C00D2" w:rsidRDefault="00103090" w:rsidP="006A7E8E"/>
    <w:p w:rsidR="00103090" w:rsidRPr="004C00D2" w:rsidRDefault="00103090" w:rsidP="006A7E8E"/>
    <w:p w:rsidR="00103090" w:rsidRPr="004C00D2" w:rsidRDefault="00103090" w:rsidP="006A7E8E"/>
    <w:p w:rsidR="00103090" w:rsidRPr="004C00D2" w:rsidRDefault="00103090" w:rsidP="006A7E8E"/>
    <w:p w:rsidR="00103090" w:rsidRPr="004C00D2" w:rsidRDefault="00103090" w:rsidP="006A7E8E"/>
    <w:p w:rsidR="00103090" w:rsidRPr="004C00D2" w:rsidRDefault="00103090" w:rsidP="006A7E8E"/>
    <w:p w:rsidR="00103090" w:rsidRDefault="00103090" w:rsidP="006A7E8E"/>
    <w:p w:rsidR="00422E9E" w:rsidRDefault="00422E9E" w:rsidP="006A7E8E"/>
    <w:p w:rsidR="00103090" w:rsidRPr="004C00D2" w:rsidRDefault="00103090" w:rsidP="006A7E8E"/>
    <w:p w:rsidR="00103090" w:rsidRPr="004C00D2" w:rsidRDefault="00103090" w:rsidP="006A7E8E"/>
    <w:p w:rsidR="00B052A8" w:rsidRPr="004C00D2" w:rsidRDefault="00B052A8" w:rsidP="006A7E8E"/>
    <w:p w:rsidR="00B052A8" w:rsidRPr="004C00D2" w:rsidRDefault="00B052A8" w:rsidP="006A7E8E"/>
    <w:p w:rsidR="00B052A8" w:rsidRPr="004C00D2" w:rsidRDefault="00B052A8" w:rsidP="006A7E8E"/>
    <w:p w:rsidR="00B052A8" w:rsidRPr="004C00D2" w:rsidRDefault="00B052A8" w:rsidP="006A7E8E"/>
    <w:p w:rsidR="00B052A8" w:rsidRPr="004C00D2" w:rsidRDefault="00B052A8" w:rsidP="00B052A8">
      <w:pPr>
        <w:rPr>
          <w:rFonts w:ascii="Arial Narrow" w:hAnsi="Arial Narrow" w:cs="Arial"/>
          <w:bCs/>
        </w:rPr>
      </w:pPr>
    </w:p>
    <w:p w:rsidR="00B052A8" w:rsidRPr="004C00D2" w:rsidRDefault="00F93154" w:rsidP="00B052A8">
      <w:pPr>
        <w:rPr>
          <w:rFonts w:ascii="Arial Narrow" w:hAnsi="Arial Narrow" w:cs="Arial"/>
          <w:bCs/>
        </w:rPr>
      </w:pPr>
      <w:r w:rsidRPr="004C00D2">
        <w:rPr>
          <w:rFonts w:ascii="Arial Narrow" w:hAnsi="Arial Narrow" w:cs="Arial"/>
          <w:bCs/>
          <w:noProof/>
          <w:lang w:val="en-US"/>
        </w:rPr>
        <mc:AlternateContent>
          <mc:Choice Requires="wps">
            <w:drawing>
              <wp:anchor distT="0" distB="0" distL="114300" distR="114300" simplePos="0" relativeHeight="251658240" behindDoc="0" locked="0" layoutInCell="1" allowOverlap="1">
                <wp:simplePos x="0" y="0"/>
                <wp:positionH relativeFrom="character">
                  <wp:posOffset>215265</wp:posOffset>
                </wp:positionH>
                <wp:positionV relativeFrom="line">
                  <wp:posOffset>96520</wp:posOffset>
                </wp:positionV>
                <wp:extent cx="6121400" cy="0"/>
                <wp:effectExtent l="12700" t="8255" r="9525" b="1079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straightConnector1">
                          <a:avLst/>
                        </a:prstGeom>
                        <a:noFill/>
                        <a:ln w="3175">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4882C48" id="_x0000_t32" coordsize="21600,21600" o:spt="32" o:oned="t" path="m,l21600,21600e" filled="f">
                <v:path arrowok="t" fillok="f" o:connecttype="none"/>
                <o:lock v:ext="edit" shapetype="t"/>
              </v:shapetype>
              <v:shape id="AutoShape 16" o:spid="_x0000_s1026" type="#_x0000_t32" style="position:absolute;margin-left:16.95pt;margin-top:7.6pt;width:482pt;height:0;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" strokecolor="#a5a5a5" strokeweight=".25pt">
                <v:shadow color="#7f7f7f" opacity=".5" offset="1pt"/>
                <w10:wrap anchory="line"/>
              </v:shape>
            </w:pict>
          </mc:Fallback>
        </mc:AlternateContent>
      </w:r>
    </w:p>
    <w:p w:rsidR="00B052A8" w:rsidRPr="00422E9E" w:rsidRDefault="00B052A8" w:rsidP="00B052A8">
      <w:pPr>
        <w:jc w:val="center"/>
        <w:rPr>
          <w:rFonts w:cs="Arial"/>
          <w:bCs/>
          <w:iCs/>
          <w:sz w:val="18"/>
          <w:szCs w:val="18"/>
        </w:rPr>
      </w:pPr>
      <w:r w:rsidRPr="00422E9E">
        <w:rPr>
          <w:rFonts w:cs="Arial"/>
          <w:b/>
          <w:bCs/>
          <w:iCs/>
          <w:sz w:val="18"/>
          <w:szCs w:val="18"/>
        </w:rPr>
        <w:t>Contact:</w:t>
      </w:r>
      <w:r w:rsidRPr="00422E9E">
        <w:rPr>
          <w:rFonts w:cs="Arial"/>
          <w:bCs/>
          <w:iCs/>
          <w:sz w:val="18"/>
          <w:szCs w:val="18"/>
        </w:rPr>
        <w:t xml:space="preserve"> </w:t>
      </w:r>
      <w:r w:rsidR="00782AB3" w:rsidRPr="00422E9E">
        <w:rPr>
          <w:rFonts w:cs="Arial"/>
          <w:bCs/>
          <w:iCs/>
          <w:sz w:val="18"/>
          <w:szCs w:val="18"/>
        </w:rPr>
        <w:t xml:space="preserve">Neda Cukavac  </w:t>
      </w:r>
      <w:hyperlink r:id="rId12" w:history="1">
        <w:r w:rsidR="00782AB3" w:rsidRPr="00422E9E">
          <w:rPr>
            <w:rFonts w:cs="Arial"/>
            <w:bCs/>
            <w:iCs/>
            <w:color w:val="0000FF"/>
            <w:sz w:val="18"/>
            <w:szCs w:val="18"/>
            <w:u w:val="single"/>
          </w:rPr>
          <w:t>neda.cukavac@stat.gov.rs</w:t>
        </w:r>
      </w:hyperlink>
      <w:r w:rsidR="00782AB3" w:rsidRPr="00422E9E">
        <w:rPr>
          <w:rFonts w:cs="Arial"/>
          <w:bCs/>
          <w:iCs/>
          <w:sz w:val="18"/>
          <w:szCs w:val="18"/>
        </w:rPr>
        <w:t xml:space="preserve">; </w:t>
      </w:r>
      <w:r w:rsidRPr="00422E9E">
        <w:rPr>
          <w:rFonts w:cs="Arial"/>
          <w:bCs/>
          <w:iCs/>
          <w:sz w:val="18"/>
          <w:szCs w:val="18"/>
        </w:rPr>
        <w:t>phone: 011/</w:t>
      </w:r>
      <w:r w:rsidR="00782AB3" w:rsidRPr="00422E9E">
        <w:rPr>
          <w:rFonts w:cs="Arial"/>
          <w:bCs/>
          <w:iCs/>
          <w:sz w:val="18"/>
          <w:szCs w:val="18"/>
        </w:rPr>
        <w:t>3290242</w:t>
      </w:r>
    </w:p>
    <w:p w:rsidR="00B052A8" w:rsidRPr="00422E9E" w:rsidRDefault="00B052A8" w:rsidP="00B052A8">
      <w:pPr>
        <w:jc w:val="center"/>
        <w:rPr>
          <w:rFonts w:cs="Arial"/>
          <w:bCs/>
          <w:iCs/>
          <w:sz w:val="18"/>
          <w:szCs w:val="18"/>
        </w:rPr>
      </w:pPr>
      <w:r w:rsidRPr="00422E9E">
        <w:rPr>
          <w:rFonts w:cs="Arial"/>
          <w:bCs/>
          <w:iCs/>
          <w:sz w:val="18"/>
          <w:szCs w:val="18"/>
        </w:rPr>
        <w:t>Published and printed by: Statistical Office of the Republic of Serbia, Milana Rakica 5, Belgrade</w:t>
      </w:r>
    </w:p>
    <w:p w:rsidR="00B052A8" w:rsidRPr="00422E9E" w:rsidRDefault="00B052A8" w:rsidP="00B052A8">
      <w:pPr>
        <w:ind w:left="202" w:right="29"/>
        <w:jc w:val="center"/>
        <w:rPr>
          <w:rFonts w:cs="Arial"/>
          <w:bCs/>
          <w:iCs/>
          <w:sz w:val="18"/>
          <w:szCs w:val="18"/>
        </w:rPr>
      </w:pPr>
      <w:r w:rsidRPr="00422E9E">
        <w:rPr>
          <w:rFonts w:cs="Arial"/>
          <w:bCs/>
          <w:iCs/>
          <w:sz w:val="18"/>
          <w:szCs w:val="18"/>
        </w:rPr>
        <w:t>Phone: +381 11 2412922 ● Fax: +381 11 2411260 ● www.stat.gov.rs</w:t>
      </w:r>
    </w:p>
    <w:p w:rsidR="00B052A8" w:rsidRPr="00422E9E" w:rsidRDefault="00B052A8" w:rsidP="00B052A8">
      <w:pPr>
        <w:jc w:val="center"/>
        <w:rPr>
          <w:rFonts w:cs="Arial"/>
          <w:bCs/>
          <w:iCs/>
          <w:sz w:val="18"/>
          <w:szCs w:val="18"/>
        </w:rPr>
      </w:pPr>
      <w:r w:rsidRPr="00422E9E">
        <w:rPr>
          <w:rFonts w:cs="Arial"/>
          <w:bCs/>
          <w:iCs/>
          <w:sz w:val="18"/>
          <w:szCs w:val="18"/>
        </w:rPr>
        <w:t>Responsible:</w:t>
      </w:r>
      <w:r w:rsidR="000554B5" w:rsidRPr="00422E9E">
        <w:rPr>
          <w:rFonts w:cs="Arial"/>
          <w:bCs/>
          <w:iCs/>
          <w:sz w:val="18"/>
          <w:szCs w:val="18"/>
        </w:rPr>
        <w:t xml:space="preserve"> Dr</w:t>
      </w:r>
      <w:r w:rsidRPr="00422E9E">
        <w:rPr>
          <w:rFonts w:cs="Arial"/>
          <w:bCs/>
          <w:iCs/>
          <w:sz w:val="18"/>
          <w:szCs w:val="18"/>
        </w:rPr>
        <w:t xml:space="preserve"> </w:t>
      </w:r>
      <w:r w:rsidR="00103090" w:rsidRPr="00422E9E">
        <w:rPr>
          <w:rFonts w:cs="Arial"/>
          <w:bCs/>
          <w:iCs/>
          <w:sz w:val="18"/>
          <w:szCs w:val="18"/>
        </w:rPr>
        <w:t xml:space="preserve">Miladin Kovačević, </w:t>
      </w:r>
      <w:r w:rsidR="000554B5" w:rsidRPr="00422E9E">
        <w:rPr>
          <w:rFonts w:cs="Arial"/>
          <w:bCs/>
          <w:iCs/>
          <w:sz w:val="18"/>
          <w:szCs w:val="18"/>
        </w:rPr>
        <w:t>Director</w:t>
      </w:r>
    </w:p>
    <w:p w:rsidR="00B052A8" w:rsidRPr="00422E9E" w:rsidRDefault="00B052A8" w:rsidP="00B052A8">
      <w:pPr>
        <w:jc w:val="center"/>
        <w:rPr>
          <w:rFonts w:cs="Arial"/>
          <w:bCs/>
          <w:iCs/>
          <w:sz w:val="18"/>
          <w:szCs w:val="18"/>
        </w:rPr>
      </w:pPr>
      <w:r w:rsidRPr="00422E9E">
        <w:rPr>
          <w:rFonts w:cs="Arial"/>
          <w:bCs/>
          <w:iCs/>
          <w:sz w:val="18"/>
          <w:szCs w:val="18"/>
        </w:rPr>
        <w:t xml:space="preserve">Circulation: 20 • Issued </w:t>
      </w:r>
      <w:r w:rsidRPr="00422E9E">
        <w:rPr>
          <w:rFonts w:cs="Arial"/>
          <w:iCs/>
          <w:sz w:val="18"/>
          <w:szCs w:val="18"/>
        </w:rPr>
        <w:t>annually</w:t>
      </w:r>
    </w:p>
    <w:p w:rsidR="009324E6" w:rsidRPr="00422E9E" w:rsidRDefault="009324E6" w:rsidP="00A40F29">
      <w:pPr>
        <w:rPr>
          <w:rFonts w:cs="Arial"/>
          <w:sz w:val="18"/>
          <w:szCs w:val="18"/>
        </w:rPr>
      </w:pPr>
    </w:p>
    <w:sectPr w:rsidR="009324E6" w:rsidRPr="00422E9E" w:rsidSect="00A7556A">
      <w:footerReference w:type="even" r:id="rId13"/>
      <w:footerReference w:type="default" r:id="rId14"/>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72D" w:rsidRDefault="0025672D">
      <w:r>
        <w:separator/>
      </w:r>
    </w:p>
  </w:endnote>
  <w:endnote w:type="continuationSeparator" w:id="0">
    <w:p w:rsidR="0025672D" w:rsidRDefault="00256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1E0" w:firstRow="1" w:lastRow="1" w:firstColumn="1" w:lastColumn="1" w:noHBand="0" w:noVBand="0"/>
    </w:tblPr>
    <w:tblGrid>
      <w:gridCol w:w="5210"/>
      <w:gridCol w:w="5211"/>
    </w:tblGrid>
    <w:tr w:rsidR="0074199C" w:rsidRPr="00B052A8">
      <w:tc>
        <w:tcPr>
          <w:tcW w:w="5210" w:type="dxa"/>
          <w:shd w:val="clear" w:color="auto" w:fill="auto"/>
        </w:tcPr>
        <w:p w:rsidR="0074199C" w:rsidRPr="00B052A8" w:rsidRDefault="0074199C" w:rsidP="003D7EA9">
          <w:pPr>
            <w:spacing w:before="120"/>
            <w:rPr>
              <w:iCs/>
              <w:sz w:val="16"/>
              <w:szCs w:val="16"/>
            </w:rPr>
          </w:pPr>
          <w:r w:rsidRPr="00B052A8">
            <w:rPr>
              <w:iCs/>
              <w:sz w:val="16"/>
              <w:szCs w:val="16"/>
            </w:rPr>
            <w:fldChar w:fldCharType="begin"/>
          </w:r>
          <w:r w:rsidRPr="00B052A8">
            <w:rPr>
              <w:iCs/>
              <w:sz w:val="16"/>
              <w:szCs w:val="16"/>
            </w:rPr>
            <w:instrText xml:space="preserve"> PAGE </w:instrText>
          </w:r>
          <w:r w:rsidRPr="00B052A8">
            <w:rPr>
              <w:iCs/>
              <w:sz w:val="16"/>
              <w:szCs w:val="16"/>
            </w:rPr>
            <w:fldChar w:fldCharType="separate"/>
          </w:r>
          <w:r w:rsidR="00364CB7">
            <w:rPr>
              <w:iCs/>
              <w:noProof/>
              <w:sz w:val="16"/>
              <w:szCs w:val="16"/>
            </w:rPr>
            <w:t>2</w:t>
          </w:r>
          <w:r w:rsidRPr="00B052A8">
            <w:rPr>
              <w:iCs/>
              <w:sz w:val="16"/>
              <w:szCs w:val="16"/>
            </w:rPr>
            <w:fldChar w:fldCharType="end"/>
          </w:r>
        </w:p>
      </w:tc>
      <w:tc>
        <w:tcPr>
          <w:tcW w:w="5211" w:type="dxa"/>
          <w:shd w:val="clear" w:color="auto" w:fill="auto"/>
        </w:tcPr>
        <w:p w:rsidR="0074199C" w:rsidRPr="00422E9E" w:rsidRDefault="0074199C" w:rsidP="00422E9E">
          <w:pPr>
            <w:spacing w:before="120"/>
            <w:jc w:val="right"/>
            <w:rPr>
              <w:bCs/>
              <w:sz w:val="16"/>
              <w:szCs w:val="16"/>
              <w:lang w:val="sr-Latn-RS"/>
            </w:rPr>
          </w:pPr>
          <w:r w:rsidRPr="00B052A8">
            <w:rPr>
              <w:bCs/>
              <w:sz w:val="16"/>
              <w:szCs w:val="16"/>
              <w:lang w:val="sr-Latn-CS"/>
            </w:rPr>
            <w:t>SERB</w:t>
          </w:r>
          <w:r w:rsidR="00422E9E">
            <w:rPr>
              <w:bCs/>
              <w:sz w:val="16"/>
              <w:szCs w:val="16"/>
              <w:lang w:val="sr-Latn-CS"/>
            </w:rPr>
            <w:t>112</w:t>
          </w:r>
          <w:r w:rsidRPr="00B052A8">
            <w:rPr>
              <w:bCs/>
              <w:sz w:val="16"/>
              <w:szCs w:val="16"/>
              <w:lang w:val="sr-Cyrl-CS"/>
            </w:rPr>
            <w:t xml:space="preserve"> </w:t>
          </w:r>
          <w:r w:rsidRPr="00B052A8">
            <w:rPr>
              <w:bCs/>
              <w:sz w:val="16"/>
              <w:szCs w:val="16"/>
              <w:lang w:val="sr-Latn-CS"/>
            </w:rPr>
            <w:t>ZS</w:t>
          </w:r>
          <w:r w:rsidRPr="00B052A8">
            <w:rPr>
              <w:bCs/>
              <w:sz w:val="16"/>
              <w:szCs w:val="16"/>
              <w:lang w:val="sr-Cyrl-CS"/>
            </w:rPr>
            <w:t xml:space="preserve">30 </w:t>
          </w:r>
          <w:r>
            <w:rPr>
              <w:bCs/>
              <w:sz w:val="16"/>
              <w:szCs w:val="16"/>
              <w:lang w:val="sr-Latn-CS"/>
            </w:rPr>
            <w:t>1</w:t>
          </w:r>
          <w:r w:rsidR="00422E9E">
            <w:rPr>
              <w:bCs/>
              <w:sz w:val="16"/>
              <w:szCs w:val="16"/>
              <w:lang w:val="sr-Latn-CS"/>
            </w:rPr>
            <w:t>1</w:t>
          </w:r>
          <w:r>
            <w:rPr>
              <w:bCs/>
              <w:sz w:val="16"/>
              <w:szCs w:val="16"/>
              <w:lang w:val="sr-Cyrl-CS"/>
            </w:rPr>
            <w:t>0</w:t>
          </w:r>
          <w:r>
            <w:rPr>
              <w:bCs/>
              <w:sz w:val="16"/>
              <w:szCs w:val="16"/>
              <w:lang w:val="sr-Latn-RS"/>
            </w:rPr>
            <w:t>5</w:t>
          </w:r>
          <w:r w:rsidRPr="00B052A8">
            <w:rPr>
              <w:bCs/>
              <w:sz w:val="16"/>
              <w:szCs w:val="16"/>
              <w:lang w:val="sr-Cyrl-CS"/>
            </w:rPr>
            <w:t>1</w:t>
          </w:r>
          <w:r w:rsidR="00422E9E">
            <w:rPr>
              <w:bCs/>
              <w:sz w:val="16"/>
              <w:szCs w:val="16"/>
              <w:lang w:val="sr-Latn-RS"/>
            </w:rPr>
            <w:t>8</w:t>
          </w:r>
        </w:p>
      </w:tc>
    </w:tr>
  </w:tbl>
  <w:p w:rsidR="0074199C" w:rsidRPr="000D69EA" w:rsidRDefault="0074199C"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1E0" w:firstRow="1" w:lastRow="1" w:firstColumn="1" w:lastColumn="1" w:noHBand="0" w:noVBand="0"/>
    </w:tblPr>
    <w:tblGrid>
      <w:gridCol w:w="5210"/>
      <w:gridCol w:w="5211"/>
    </w:tblGrid>
    <w:tr w:rsidR="0074199C" w:rsidRPr="00B052A8">
      <w:tc>
        <w:tcPr>
          <w:tcW w:w="5210" w:type="dxa"/>
          <w:shd w:val="clear" w:color="auto" w:fill="auto"/>
        </w:tcPr>
        <w:p w:rsidR="0074199C" w:rsidRPr="00103090" w:rsidRDefault="0074199C" w:rsidP="00896D98">
          <w:pPr>
            <w:spacing w:before="120"/>
            <w:rPr>
              <w:iCs/>
              <w:sz w:val="16"/>
              <w:szCs w:val="16"/>
              <w:lang w:val="sr-Latn-RS"/>
            </w:rPr>
          </w:pPr>
          <w:r w:rsidRPr="00B052A8">
            <w:rPr>
              <w:iCs/>
              <w:sz w:val="16"/>
              <w:szCs w:val="16"/>
              <w:lang w:val="sr-Latn-CS"/>
            </w:rPr>
            <w:t>SERB</w:t>
          </w:r>
          <w:r w:rsidRPr="00B052A8">
            <w:rPr>
              <w:iCs/>
              <w:sz w:val="16"/>
              <w:szCs w:val="16"/>
              <w:lang w:val="sr-Cyrl-CS"/>
            </w:rPr>
            <w:t>1</w:t>
          </w:r>
          <w:r>
            <w:rPr>
              <w:iCs/>
              <w:sz w:val="16"/>
              <w:szCs w:val="16"/>
              <w:lang w:val="sr-Latn-RS"/>
            </w:rPr>
            <w:t>17</w:t>
          </w:r>
          <w:r w:rsidRPr="00B052A8">
            <w:rPr>
              <w:iCs/>
              <w:sz w:val="16"/>
              <w:szCs w:val="16"/>
              <w:lang w:val="sr-Cyrl-CS"/>
            </w:rPr>
            <w:t xml:space="preserve"> </w:t>
          </w:r>
          <w:r w:rsidRPr="00B052A8">
            <w:rPr>
              <w:iCs/>
              <w:sz w:val="16"/>
              <w:szCs w:val="16"/>
              <w:lang w:val="sr-Latn-CS"/>
            </w:rPr>
            <w:t>ZS</w:t>
          </w:r>
          <w:r w:rsidRPr="00B052A8">
            <w:rPr>
              <w:iCs/>
              <w:sz w:val="16"/>
              <w:szCs w:val="16"/>
              <w:lang w:val="sr-Cyrl-CS"/>
            </w:rPr>
            <w:t xml:space="preserve">30 </w:t>
          </w:r>
          <w:r>
            <w:rPr>
              <w:iCs/>
              <w:sz w:val="16"/>
              <w:szCs w:val="16"/>
              <w:lang w:val="sr-Latn-RS"/>
            </w:rPr>
            <w:t>1</w:t>
          </w:r>
          <w:r w:rsidR="00896D98">
            <w:rPr>
              <w:iCs/>
              <w:sz w:val="16"/>
              <w:szCs w:val="16"/>
              <w:lang w:val="sr-Latn-RS"/>
            </w:rPr>
            <w:t>2</w:t>
          </w:r>
          <w:r w:rsidRPr="00B052A8">
            <w:rPr>
              <w:iCs/>
              <w:sz w:val="16"/>
              <w:szCs w:val="16"/>
              <w:lang w:val="sr-Cyrl-CS"/>
            </w:rPr>
            <w:t>0</w:t>
          </w:r>
          <w:r>
            <w:rPr>
              <w:iCs/>
              <w:sz w:val="16"/>
              <w:szCs w:val="16"/>
              <w:lang w:val="sr-Latn-RS"/>
            </w:rPr>
            <w:t>5</w:t>
          </w:r>
          <w:r w:rsidRPr="00B052A8">
            <w:rPr>
              <w:iCs/>
              <w:sz w:val="16"/>
              <w:szCs w:val="16"/>
              <w:lang w:val="sr-Cyrl-CS"/>
            </w:rPr>
            <w:t>1</w:t>
          </w:r>
          <w:r w:rsidR="00896D98">
            <w:rPr>
              <w:iCs/>
              <w:sz w:val="16"/>
              <w:szCs w:val="16"/>
              <w:lang w:val="sr-Latn-RS"/>
            </w:rPr>
            <w:t>7</w:t>
          </w:r>
        </w:p>
      </w:tc>
      <w:tc>
        <w:tcPr>
          <w:tcW w:w="5211" w:type="dxa"/>
          <w:shd w:val="clear" w:color="auto" w:fill="auto"/>
        </w:tcPr>
        <w:p w:rsidR="0074199C" w:rsidRPr="00B052A8" w:rsidRDefault="0074199C" w:rsidP="003D7EA9">
          <w:pPr>
            <w:spacing w:before="120"/>
            <w:jc w:val="right"/>
            <w:rPr>
              <w:bCs/>
              <w:sz w:val="16"/>
              <w:szCs w:val="16"/>
            </w:rPr>
          </w:pPr>
          <w:r w:rsidRPr="00B052A8">
            <w:rPr>
              <w:bCs/>
              <w:sz w:val="16"/>
              <w:szCs w:val="16"/>
            </w:rPr>
            <w:fldChar w:fldCharType="begin"/>
          </w:r>
          <w:r w:rsidRPr="00B052A8">
            <w:rPr>
              <w:bCs/>
              <w:sz w:val="16"/>
              <w:szCs w:val="16"/>
            </w:rPr>
            <w:instrText xml:space="preserve"> PAGE </w:instrText>
          </w:r>
          <w:r w:rsidRPr="00B052A8">
            <w:rPr>
              <w:bCs/>
              <w:sz w:val="16"/>
              <w:szCs w:val="16"/>
            </w:rPr>
            <w:fldChar w:fldCharType="separate"/>
          </w:r>
          <w:r w:rsidR="00364CB7">
            <w:rPr>
              <w:bCs/>
              <w:noProof/>
              <w:sz w:val="16"/>
              <w:szCs w:val="16"/>
            </w:rPr>
            <w:t>3</w:t>
          </w:r>
          <w:r w:rsidRPr="00B052A8">
            <w:rPr>
              <w:bCs/>
              <w:sz w:val="16"/>
              <w:szCs w:val="16"/>
            </w:rPr>
            <w:fldChar w:fldCharType="end"/>
          </w:r>
        </w:p>
      </w:tc>
    </w:tr>
  </w:tbl>
  <w:p w:rsidR="0074199C" w:rsidRPr="000D69EA" w:rsidRDefault="0074199C">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72D" w:rsidRDefault="0025672D">
      <w:r>
        <w:separator/>
      </w:r>
    </w:p>
  </w:footnote>
  <w:footnote w:type="continuationSeparator" w:id="0">
    <w:p w:rsidR="0025672D" w:rsidRDefault="00256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2"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3"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5"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6"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8"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9"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1"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2"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3"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5"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6"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7"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8"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9"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6"/>
  </w:num>
  <w:num w:numId="12">
    <w:abstractNumId w:val="23"/>
  </w:num>
  <w:num w:numId="13">
    <w:abstractNumId w:val="8"/>
  </w:num>
  <w:num w:numId="14">
    <w:abstractNumId w:val="27"/>
  </w:num>
  <w:num w:numId="15">
    <w:abstractNumId w:val="25"/>
  </w:num>
  <w:num w:numId="16">
    <w:abstractNumId w:val="12"/>
  </w:num>
  <w:num w:numId="17">
    <w:abstractNumId w:val="13"/>
  </w:num>
  <w:num w:numId="18">
    <w:abstractNumId w:val="30"/>
  </w:num>
  <w:num w:numId="19">
    <w:abstractNumId w:val="22"/>
  </w:num>
  <w:num w:numId="20">
    <w:abstractNumId w:val="19"/>
  </w:num>
  <w:num w:numId="21">
    <w:abstractNumId w:val="29"/>
  </w:num>
  <w:num w:numId="22">
    <w:abstractNumId w:val="24"/>
  </w:num>
  <w:num w:numId="23">
    <w:abstractNumId w:val="21"/>
  </w:num>
  <w:num w:numId="24">
    <w:abstractNumId w:val="15"/>
  </w:num>
  <w:num w:numId="25">
    <w:abstractNumId w:val="14"/>
  </w:num>
  <w:num w:numId="26">
    <w:abstractNumId w:val="17"/>
  </w:num>
  <w:num w:numId="27">
    <w:abstractNumId w:val="28"/>
  </w:num>
  <w:num w:numId="28">
    <w:abstractNumId w:val="11"/>
  </w:num>
  <w:num w:numId="29">
    <w:abstractNumId w:val="26"/>
  </w:num>
  <w:num w:numId="30">
    <w:abstractNumId w:val="20"/>
  </w:num>
  <w:num w:numId="31">
    <w:abstractNumId w:val="1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9EA"/>
    <w:rsid w:val="000049E7"/>
    <w:rsid w:val="00012635"/>
    <w:rsid w:val="00021C9B"/>
    <w:rsid w:val="00027E9E"/>
    <w:rsid w:val="00052A06"/>
    <w:rsid w:val="00054059"/>
    <w:rsid w:val="000554B5"/>
    <w:rsid w:val="000752D5"/>
    <w:rsid w:val="00097010"/>
    <w:rsid w:val="000D0A2D"/>
    <w:rsid w:val="000D20F5"/>
    <w:rsid w:val="000D4726"/>
    <w:rsid w:val="000D69EA"/>
    <w:rsid w:val="00103090"/>
    <w:rsid w:val="001034CA"/>
    <w:rsid w:val="001057A8"/>
    <w:rsid w:val="00110976"/>
    <w:rsid w:val="00120DC5"/>
    <w:rsid w:val="001245F5"/>
    <w:rsid w:val="001317B7"/>
    <w:rsid w:val="0014018B"/>
    <w:rsid w:val="00142612"/>
    <w:rsid w:val="00151CE8"/>
    <w:rsid w:val="00161C21"/>
    <w:rsid w:val="00165B24"/>
    <w:rsid w:val="00174A7B"/>
    <w:rsid w:val="00174E1D"/>
    <w:rsid w:val="00182529"/>
    <w:rsid w:val="001A79CF"/>
    <w:rsid w:val="001B0106"/>
    <w:rsid w:val="001B236B"/>
    <w:rsid w:val="001C060E"/>
    <w:rsid w:val="001C228B"/>
    <w:rsid w:val="001D0702"/>
    <w:rsid w:val="001D3D1B"/>
    <w:rsid w:val="001E358F"/>
    <w:rsid w:val="00203293"/>
    <w:rsid w:val="00206E66"/>
    <w:rsid w:val="00213F3F"/>
    <w:rsid w:val="0022429F"/>
    <w:rsid w:val="00225696"/>
    <w:rsid w:val="002338F2"/>
    <w:rsid w:val="00233C05"/>
    <w:rsid w:val="00241CDC"/>
    <w:rsid w:val="00244354"/>
    <w:rsid w:val="00244D80"/>
    <w:rsid w:val="0024523E"/>
    <w:rsid w:val="0025672D"/>
    <w:rsid w:val="002577D1"/>
    <w:rsid w:val="00266953"/>
    <w:rsid w:val="002922A6"/>
    <w:rsid w:val="002A42D6"/>
    <w:rsid w:val="002A4A8B"/>
    <w:rsid w:val="002B780F"/>
    <w:rsid w:val="002C78FF"/>
    <w:rsid w:val="002D4E35"/>
    <w:rsid w:val="002E3E1F"/>
    <w:rsid w:val="003044F9"/>
    <w:rsid w:val="003173FE"/>
    <w:rsid w:val="0033764D"/>
    <w:rsid w:val="003472A6"/>
    <w:rsid w:val="00347C57"/>
    <w:rsid w:val="00364CB7"/>
    <w:rsid w:val="003A1A73"/>
    <w:rsid w:val="003A2F46"/>
    <w:rsid w:val="003B6F38"/>
    <w:rsid w:val="003C4653"/>
    <w:rsid w:val="003D7EA9"/>
    <w:rsid w:val="003E06F2"/>
    <w:rsid w:val="003E3C34"/>
    <w:rsid w:val="003F2D4C"/>
    <w:rsid w:val="003F3A53"/>
    <w:rsid w:val="0041739D"/>
    <w:rsid w:val="00417913"/>
    <w:rsid w:val="00422E9E"/>
    <w:rsid w:val="00431E7A"/>
    <w:rsid w:val="00432F75"/>
    <w:rsid w:val="004437CD"/>
    <w:rsid w:val="004509AC"/>
    <w:rsid w:val="00451147"/>
    <w:rsid w:val="00451C0E"/>
    <w:rsid w:val="004637C6"/>
    <w:rsid w:val="004742BC"/>
    <w:rsid w:val="00486480"/>
    <w:rsid w:val="0049121F"/>
    <w:rsid w:val="004946DA"/>
    <w:rsid w:val="00495896"/>
    <w:rsid w:val="004958A5"/>
    <w:rsid w:val="004A1DC6"/>
    <w:rsid w:val="004B74A7"/>
    <w:rsid w:val="004C00D2"/>
    <w:rsid w:val="004E1183"/>
    <w:rsid w:val="004E266D"/>
    <w:rsid w:val="004E41C7"/>
    <w:rsid w:val="004E5ADD"/>
    <w:rsid w:val="004F4876"/>
    <w:rsid w:val="004F4A78"/>
    <w:rsid w:val="005062DF"/>
    <w:rsid w:val="00510C4B"/>
    <w:rsid w:val="00533A78"/>
    <w:rsid w:val="005452E1"/>
    <w:rsid w:val="00560018"/>
    <w:rsid w:val="005605E2"/>
    <w:rsid w:val="005814E0"/>
    <w:rsid w:val="005841FA"/>
    <w:rsid w:val="00584A33"/>
    <w:rsid w:val="00586B4C"/>
    <w:rsid w:val="0059084D"/>
    <w:rsid w:val="00591F3B"/>
    <w:rsid w:val="00594BF9"/>
    <w:rsid w:val="00596A18"/>
    <w:rsid w:val="005A15ED"/>
    <w:rsid w:val="005A6793"/>
    <w:rsid w:val="005C10E4"/>
    <w:rsid w:val="005C246D"/>
    <w:rsid w:val="005C4034"/>
    <w:rsid w:val="005D035B"/>
    <w:rsid w:val="005D686F"/>
    <w:rsid w:val="005F408E"/>
    <w:rsid w:val="006019C7"/>
    <w:rsid w:val="00612DF9"/>
    <w:rsid w:val="00614636"/>
    <w:rsid w:val="00626DB8"/>
    <w:rsid w:val="00627E99"/>
    <w:rsid w:val="0067119B"/>
    <w:rsid w:val="00677A51"/>
    <w:rsid w:val="006967AE"/>
    <w:rsid w:val="006A7E8E"/>
    <w:rsid w:val="006B7517"/>
    <w:rsid w:val="006C078D"/>
    <w:rsid w:val="006C76A3"/>
    <w:rsid w:val="006D00AA"/>
    <w:rsid w:val="006E1899"/>
    <w:rsid w:val="006E2B24"/>
    <w:rsid w:val="006E7AF4"/>
    <w:rsid w:val="006F27CB"/>
    <w:rsid w:val="006F35D2"/>
    <w:rsid w:val="00724118"/>
    <w:rsid w:val="0073113A"/>
    <w:rsid w:val="0073123B"/>
    <w:rsid w:val="00734CEA"/>
    <w:rsid w:val="0074199C"/>
    <w:rsid w:val="00751F6D"/>
    <w:rsid w:val="00763F2F"/>
    <w:rsid w:val="00782AB3"/>
    <w:rsid w:val="007A551E"/>
    <w:rsid w:val="007C6048"/>
    <w:rsid w:val="007C6E23"/>
    <w:rsid w:val="007D4AF9"/>
    <w:rsid w:val="007D5597"/>
    <w:rsid w:val="007E2BD1"/>
    <w:rsid w:val="007E3FD2"/>
    <w:rsid w:val="007E6E68"/>
    <w:rsid w:val="007F1EB5"/>
    <w:rsid w:val="007F3FF4"/>
    <w:rsid w:val="007F63EA"/>
    <w:rsid w:val="007F6771"/>
    <w:rsid w:val="007F7968"/>
    <w:rsid w:val="00812F38"/>
    <w:rsid w:val="008174D7"/>
    <w:rsid w:val="0082556F"/>
    <w:rsid w:val="00827947"/>
    <w:rsid w:val="00827EAB"/>
    <w:rsid w:val="008453FA"/>
    <w:rsid w:val="00851B30"/>
    <w:rsid w:val="00864431"/>
    <w:rsid w:val="00865950"/>
    <w:rsid w:val="00896D98"/>
    <w:rsid w:val="008A499F"/>
    <w:rsid w:val="008A56EC"/>
    <w:rsid w:val="008C3B72"/>
    <w:rsid w:val="008C44B8"/>
    <w:rsid w:val="008D32B2"/>
    <w:rsid w:val="008D577E"/>
    <w:rsid w:val="008D670D"/>
    <w:rsid w:val="008D780C"/>
    <w:rsid w:val="00903101"/>
    <w:rsid w:val="00904BEC"/>
    <w:rsid w:val="00920138"/>
    <w:rsid w:val="009251EF"/>
    <w:rsid w:val="009324E6"/>
    <w:rsid w:val="00935F76"/>
    <w:rsid w:val="00940DEA"/>
    <w:rsid w:val="0095042B"/>
    <w:rsid w:val="00953B72"/>
    <w:rsid w:val="00976C32"/>
    <w:rsid w:val="00982ADE"/>
    <w:rsid w:val="00987F68"/>
    <w:rsid w:val="00991A47"/>
    <w:rsid w:val="00995C4C"/>
    <w:rsid w:val="009C26A8"/>
    <w:rsid w:val="009D28E8"/>
    <w:rsid w:val="009D580F"/>
    <w:rsid w:val="009E099D"/>
    <w:rsid w:val="009E19EF"/>
    <w:rsid w:val="009E4CF4"/>
    <w:rsid w:val="009E7B22"/>
    <w:rsid w:val="009F2626"/>
    <w:rsid w:val="009F41C7"/>
    <w:rsid w:val="00A20D67"/>
    <w:rsid w:val="00A334BB"/>
    <w:rsid w:val="00A40F29"/>
    <w:rsid w:val="00A56223"/>
    <w:rsid w:val="00A62452"/>
    <w:rsid w:val="00A62D55"/>
    <w:rsid w:val="00A637E9"/>
    <w:rsid w:val="00A71048"/>
    <w:rsid w:val="00A7556A"/>
    <w:rsid w:val="00A84F98"/>
    <w:rsid w:val="00AC43D9"/>
    <w:rsid w:val="00AC46DB"/>
    <w:rsid w:val="00AC7E6A"/>
    <w:rsid w:val="00AC7F6B"/>
    <w:rsid w:val="00AD58F4"/>
    <w:rsid w:val="00AE0FD0"/>
    <w:rsid w:val="00AE2B8E"/>
    <w:rsid w:val="00B00CD1"/>
    <w:rsid w:val="00B052A8"/>
    <w:rsid w:val="00B05B51"/>
    <w:rsid w:val="00B2052A"/>
    <w:rsid w:val="00B2160C"/>
    <w:rsid w:val="00B22F94"/>
    <w:rsid w:val="00B416C1"/>
    <w:rsid w:val="00B41D27"/>
    <w:rsid w:val="00B469F8"/>
    <w:rsid w:val="00B61531"/>
    <w:rsid w:val="00B64573"/>
    <w:rsid w:val="00B67A4F"/>
    <w:rsid w:val="00B724C7"/>
    <w:rsid w:val="00B75DC7"/>
    <w:rsid w:val="00B80895"/>
    <w:rsid w:val="00B967F5"/>
    <w:rsid w:val="00BA2A4A"/>
    <w:rsid w:val="00BA3733"/>
    <w:rsid w:val="00BC5F23"/>
    <w:rsid w:val="00BC72A8"/>
    <w:rsid w:val="00BC79C9"/>
    <w:rsid w:val="00BD22C2"/>
    <w:rsid w:val="00BD6BBE"/>
    <w:rsid w:val="00BE0489"/>
    <w:rsid w:val="00BF3033"/>
    <w:rsid w:val="00C13D19"/>
    <w:rsid w:val="00C149A4"/>
    <w:rsid w:val="00C150E1"/>
    <w:rsid w:val="00C163F4"/>
    <w:rsid w:val="00C34DFC"/>
    <w:rsid w:val="00C37B4C"/>
    <w:rsid w:val="00C37F67"/>
    <w:rsid w:val="00C47EB2"/>
    <w:rsid w:val="00C80D74"/>
    <w:rsid w:val="00C83891"/>
    <w:rsid w:val="00C903E1"/>
    <w:rsid w:val="00CA16B2"/>
    <w:rsid w:val="00CB21DB"/>
    <w:rsid w:val="00CC2991"/>
    <w:rsid w:val="00CD12BF"/>
    <w:rsid w:val="00CD40C9"/>
    <w:rsid w:val="00CD6DB8"/>
    <w:rsid w:val="00CF20F9"/>
    <w:rsid w:val="00CF3650"/>
    <w:rsid w:val="00CF74C4"/>
    <w:rsid w:val="00D02A56"/>
    <w:rsid w:val="00D06BE7"/>
    <w:rsid w:val="00D075D6"/>
    <w:rsid w:val="00D105A9"/>
    <w:rsid w:val="00D23E3A"/>
    <w:rsid w:val="00D3292F"/>
    <w:rsid w:val="00D40EF0"/>
    <w:rsid w:val="00D44043"/>
    <w:rsid w:val="00D46316"/>
    <w:rsid w:val="00D52A9E"/>
    <w:rsid w:val="00D5713A"/>
    <w:rsid w:val="00D607DE"/>
    <w:rsid w:val="00D66EB9"/>
    <w:rsid w:val="00D75CCC"/>
    <w:rsid w:val="00D8259B"/>
    <w:rsid w:val="00D8733F"/>
    <w:rsid w:val="00D908DE"/>
    <w:rsid w:val="00D966D7"/>
    <w:rsid w:val="00DA14AE"/>
    <w:rsid w:val="00DB4713"/>
    <w:rsid w:val="00DE1263"/>
    <w:rsid w:val="00DF2217"/>
    <w:rsid w:val="00E10CE0"/>
    <w:rsid w:val="00E2142A"/>
    <w:rsid w:val="00E610E9"/>
    <w:rsid w:val="00E6727A"/>
    <w:rsid w:val="00E70E1F"/>
    <w:rsid w:val="00E7379A"/>
    <w:rsid w:val="00EA4BFA"/>
    <w:rsid w:val="00EB1200"/>
    <w:rsid w:val="00EB19BB"/>
    <w:rsid w:val="00EB4E26"/>
    <w:rsid w:val="00EC10CA"/>
    <w:rsid w:val="00EC4F79"/>
    <w:rsid w:val="00ED57D4"/>
    <w:rsid w:val="00ED68B8"/>
    <w:rsid w:val="00EE4AA0"/>
    <w:rsid w:val="00EF175F"/>
    <w:rsid w:val="00EF3E24"/>
    <w:rsid w:val="00F12943"/>
    <w:rsid w:val="00F135F4"/>
    <w:rsid w:val="00F21B75"/>
    <w:rsid w:val="00F2228F"/>
    <w:rsid w:val="00F43C1C"/>
    <w:rsid w:val="00F50635"/>
    <w:rsid w:val="00F54ADD"/>
    <w:rsid w:val="00F554F4"/>
    <w:rsid w:val="00F71614"/>
    <w:rsid w:val="00F753D8"/>
    <w:rsid w:val="00F773F3"/>
    <w:rsid w:val="00F801A0"/>
    <w:rsid w:val="00F83152"/>
    <w:rsid w:val="00F86959"/>
    <w:rsid w:val="00F93154"/>
    <w:rsid w:val="00F9652A"/>
    <w:rsid w:val="00FA21F8"/>
    <w:rsid w:val="00FA6E55"/>
    <w:rsid w:val="00FC021A"/>
    <w:rsid w:val="00FE06E2"/>
    <w:rsid w:val="00FE2E6A"/>
    <w:rsid w:val="00FF3BEC"/>
    <w:rsid w:val="00FF5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char;mso-position-vertical-relative:line" fill="f" fillcolor="white" stroke="f">
      <v:fill color="white" on="f"/>
      <v:stroke on="f"/>
    </o:shapedefaults>
    <o:shapelayout v:ext="edit">
      <o:idmap v:ext="edit" data="1"/>
    </o:shapelayout>
  </w:shapeDefaults>
  <w:decimalSymbol w:val="."/>
  <w:listSeparator w:val=","/>
  <w15:docId w15:val="{711EF10C-11FB-41AA-88D8-36A7F1A60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F29"/>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semiHidden/>
    <w:rsid w:val="00627E99"/>
    <w:pPr>
      <w:tabs>
        <w:tab w:val="center" w:pos="4703"/>
        <w:tab w:val="right" w:pos="9406"/>
      </w:tabs>
    </w:pPr>
  </w:style>
  <w:style w:type="paragraph" w:styleId="Footer">
    <w:name w:val="footer"/>
    <w:basedOn w:val="Normal"/>
    <w:semiHidden/>
    <w:rsid w:val="00627E99"/>
    <w:pPr>
      <w:tabs>
        <w:tab w:val="center" w:pos="4703"/>
        <w:tab w:val="right" w:pos="9406"/>
      </w:tabs>
    </w:pPr>
  </w:style>
  <w:style w:type="character" w:styleId="FootnoteReference">
    <w:name w:val="footnote reference"/>
    <w:semiHidden/>
    <w:rsid w:val="000D69EA"/>
    <w:rPr>
      <w:vertAlign w:val="superscript"/>
    </w:rPr>
  </w:style>
  <w:style w:type="paragraph" w:customStyle="1" w:styleId="CarCar">
    <w:name w:val="Car Car"/>
    <w:basedOn w:val="Normal"/>
    <w:rsid w:val="00584A33"/>
    <w:pPr>
      <w:spacing w:after="160" w:line="240" w:lineRule="exact"/>
    </w:pPr>
    <w:rPr>
      <w:rFonts w:ascii="Verdana" w:hAnsi="Verdana"/>
      <w:i/>
      <w:szCs w:val="20"/>
    </w:rPr>
  </w:style>
  <w:style w:type="character" w:customStyle="1" w:styleId="shorttext">
    <w:name w:val="short_text"/>
    <w:basedOn w:val="DefaultParagraphFont"/>
    <w:rsid w:val="00584A33"/>
  </w:style>
  <w:style w:type="character" w:customStyle="1" w:styleId="hps">
    <w:name w:val="hps"/>
    <w:basedOn w:val="DefaultParagraphFont"/>
    <w:rsid w:val="00903101"/>
  </w:style>
  <w:style w:type="paragraph" w:customStyle="1" w:styleId="CharCharCharCharChar1Char">
    <w:name w:val="Char Char Char Char Char1 Char"/>
    <w:basedOn w:val="Normal"/>
    <w:rsid w:val="00903101"/>
    <w:pPr>
      <w:tabs>
        <w:tab w:val="left" w:pos="567"/>
      </w:tabs>
      <w:spacing w:before="120" w:after="160" w:line="240" w:lineRule="exact"/>
      <w:ind w:left="1584" w:hanging="504"/>
    </w:pPr>
    <w:rPr>
      <w:b/>
      <w:bCs/>
      <w:color w:val="000000"/>
      <w:sz w:val="24"/>
    </w:rPr>
  </w:style>
  <w:style w:type="character" w:customStyle="1" w:styleId="hpsalt-edited">
    <w:name w:val="hps alt-edited"/>
    <w:basedOn w:val="DefaultParagraphFont"/>
    <w:rsid w:val="00903101"/>
  </w:style>
  <w:style w:type="character" w:styleId="Hyperlink">
    <w:name w:val="Hyperlink"/>
    <w:rsid w:val="00EC10CA"/>
    <w:rPr>
      <w:color w:val="0000FF"/>
      <w:u w:val="single"/>
    </w:rPr>
  </w:style>
  <w:style w:type="character" w:styleId="FollowedHyperlink">
    <w:name w:val="FollowedHyperlink"/>
    <w:rsid w:val="00422E9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441115">
      <w:bodyDiv w:val="1"/>
      <w:marLeft w:val="0"/>
      <w:marRight w:val="0"/>
      <w:marTop w:val="0"/>
      <w:marBottom w:val="0"/>
      <w:divBdr>
        <w:top w:val="none" w:sz="0" w:space="0" w:color="auto"/>
        <w:left w:val="none" w:sz="0" w:space="0" w:color="auto"/>
        <w:bottom w:val="none" w:sz="0" w:space="0" w:color="auto"/>
        <w:right w:val="none" w:sz="0" w:space="0" w:color="auto"/>
      </w:divBdr>
    </w:div>
    <w:div w:id="97526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eda.cukavac@stat.gov.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gov.rs/sr-latn/oblasti/zivotna-sredin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ata.stat.gov.rs/?caller=2501&amp;languageCode=sr-Latn" TargetMode="External"/><Relationship Id="rId4" Type="http://schemas.openxmlformats.org/officeDocument/2006/relationships/webSettings" Target="webSettings.xml"/><Relationship Id="rId9" Type="http://schemas.openxmlformats.org/officeDocument/2006/relationships/hyperlink" Target="http://www.stat.gov.rs/sr-latn/istrazivanja/methodology-and-documents/?a=25&amp;s=250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3914</CharactersWithSpaces>
  <SharedDoc>false</SharedDoc>
  <HLinks>
    <vt:vector size="24" baseType="variant">
      <vt:variant>
        <vt:i4>1048622</vt:i4>
      </vt:variant>
      <vt:variant>
        <vt:i4>12</vt:i4>
      </vt:variant>
      <vt:variant>
        <vt:i4>0</vt:i4>
      </vt:variant>
      <vt:variant>
        <vt:i4>5</vt:i4>
      </vt:variant>
      <vt:variant>
        <vt:lpwstr>mailto:neda.cukavac@stat.gov.rs</vt:lpwstr>
      </vt:variant>
      <vt:variant>
        <vt:lpwstr/>
      </vt:variant>
      <vt:variant>
        <vt:i4>6946876</vt:i4>
      </vt:variant>
      <vt:variant>
        <vt:i4>9</vt:i4>
      </vt:variant>
      <vt:variant>
        <vt:i4>0</vt:i4>
      </vt:variant>
      <vt:variant>
        <vt:i4>5</vt:i4>
      </vt:variant>
      <vt:variant>
        <vt:lpwstr>http://www.stat.gov.rs/sr-latn/oblasti/zivotna-sredina/</vt:lpwstr>
      </vt:variant>
      <vt:variant>
        <vt:lpwstr/>
      </vt:variant>
      <vt:variant>
        <vt:i4>4849748</vt:i4>
      </vt:variant>
      <vt:variant>
        <vt:i4>6</vt:i4>
      </vt:variant>
      <vt:variant>
        <vt:i4>0</vt:i4>
      </vt:variant>
      <vt:variant>
        <vt:i4>5</vt:i4>
      </vt:variant>
      <vt:variant>
        <vt:lpwstr>http://data.stat.gov.rs/?caller=2501&amp;languageCode=sr-Latn</vt:lpwstr>
      </vt:variant>
      <vt:variant>
        <vt:lpwstr/>
      </vt:variant>
      <vt:variant>
        <vt:i4>2162784</vt:i4>
      </vt:variant>
      <vt:variant>
        <vt:i4>3</vt:i4>
      </vt:variant>
      <vt:variant>
        <vt:i4>0</vt:i4>
      </vt:variant>
      <vt:variant>
        <vt:i4>5</vt:i4>
      </vt:variant>
      <vt:variant>
        <vt:lpwstr>http://www.stat.gov.rs/sr-latn/istrazivanja/methodology-and-documents/?a=25&amp;s=2501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Irena Dimic</cp:lastModifiedBy>
  <cp:revision>3</cp:revision>
  <cp:lastPrinted>2017-05-12T08:29:00Z</cp:lastPrinted>
  <dcterms:created xsi:type="dcterms:W3CDTF">2018-05-09T08:52:00Z</dcterms:created>
  <dcterms:modified xsi:type="dcterms:W3CDTF">2018-05-09T09:29:00Z</dcterms:modified>
</cp:coreProperties>
</file>