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E" w:rsidRPr="00D72FC0" w:rsidRDefault="00C64365" w:rsidP="00FF0ED9">
      <w:pPr>
        <w:spacing w:after="240"/>
        <w:jc w:val="both"/>
        <w:rPr>
          <w:rFonts w:ascii="Calibri" w:hAnsi="Calibri"/>
          <w:b/>
          <w:bCs/>
          <w:u w:val="single"/>
          <w:lang w:val="sr-Cyrl-RS"/>
        </w:rPr>
      </w:pPr>
      <w:bookmarkStart w:id="0" w:name="is"/>
      <w:r>
        <w:rPr>
          <w:rFonts w:ascii="Calibri" w:hAnsi="Calibri"/>
          <w:b/>
          <w:bCs/>
          <w:u w:val="single"/>
          <w:lang w:val="ru-RU"/>
        </w:rPr>
        <w:t>ИНВЕСТИЦИЈЕ</w:t>
      </w:r>
      <w:r w:rsidR="008B05FE" w:rsidRPr="00635DB1">
        <w:rPr>
          <w:rFonts w:ascii="Calibri" w:hAnsi="Calibri"/>
          <w:b/>
          <w:bCs/>
          <w:u w:val="single"/>
          <w:lang w:val="ru-RU"/>
        </w:rPr>
        <w:t xml:space="preserve"> </w:t>
      </w:r>
      <w:r>
        <w:rPr>
          <w:rFonts w:ascii="Calibri" w:hAnsi="Calibri"/>
          <w:b/>
          <w:bCs/>
          <w:u w:val="single"/>
          <w:lang w:val="ru-RU"/>
        </w:rPr>
        <w:t>У</w:t>
      </w:r>
      <w:r w:rsidR="008B05FE" w:rsidRPr="00635DB1">
        <w:rPr>
          <w:rFonts w:ascii="Calibri" w:hAnsi="Calibri"/>
          <w:b/>
          <w:bCs/>
          <w:u w:val="single"/>
          <w:lang w:val="ru-RU"/>
        </w:rPr>
        <w:t xml:space="preserve"> </w:t>
      </w:r>
      <w:r w:rsidR="00D72FC0">
        <w:rPr>
          <w:rFonts w:ascii="Calibri" w:hAnsi="Calibri"/>
          <w:b/>
          <w:bCs/>
          <w:u w:val="single"/>
          <w:lang w:val="ru-RU"/>
        </w:rPr>
        <w:t>ОСНОВН</w:t>
      </w:r>
      <w:r w:rsidR="00D72FC0">
        <w:rPr>
          <w:rFonts w:ascii="Calibri" w:hAnsi="Calibri"/>
          <w:b/>
          <w:bCs/>
          <w:u w:val="single"/>
        </w:rPr>
        <w:t>A</w:t>
      </w:r>
      <w:r w:rsidR="008B05FE" w:rsidRPr="00635DB1">
        <w:rPr>
          <w:rFonts w:ascii="Calibri" w:hAnsi="Calibri"/>
          <w:b/>
          <w:bCs/>
          <w:u w:val="single"/>
          <w:lang w:val="ru-RU"/>
        </w:rPr>
        <w:t xml:space="preserve"> </w:t>
      </w:r>
      <w:r w:rsidR="00D72FC0">
        <w:rPr>
          <w:rFonts w:ascii="Calibri" w:hAnsi="Calibri"/>
          <w:b/>
          <w:bCs/>
          <w:u w:val="single"/>
          <w:lang w:val="sr-Cyrl-RS"/>
        </w:rPr>
        <w:t>СРЕДСТВА</w:t>
      </w:r>
    </w:p>
    <w:p w:rsidR="008B05FE" w:rsidRPr="00635DB1" w:rsidRDefault="008B05FE" w:rsidP="00244F34">
      <w:pPr>
        <w:jc w:val="both"/>
        <w:rPr>
          <w:rFonts w:ascii="Calibri" w:hAnsi="Calibri"/>
          <w:b/>
          <w:bCs/>
          <w:u w:val="single"/>
          <w:lang w:val="sr-Latn-CS"/>
        </w:rPr>
      </w:pPr>
    </w:p>
    <w:p w:rsidR="00AA4DB4" w:rsidRPr="00635DB1" w:rsidRDefault="00C64365" w:rsidP="00244F34">
      <w:pPr>
        <w:spacing w:after="120"/>
        <w:ind w:firstLine="720"/>
        <w:jc w:val="both"/>
        <w:rPr>
          <w:rFonts w:ascii="Calibri" w:eastAsia="SimSun" w:hAnsi="Calibri" w:cs="MyriadPro-LightSemiCn"/>
          <w:lang w:val="ru-RU" w:eastAsia="zh-CN"/>
        </w:rPr>
      </w:pPr>
      <w:r>
        <w:rPr>
          <w:rFonts w:ascii="Calibri" w:eastAsia="SimSun" w:hAnsi="Calibri" w:cs="MyriadPro-LightSemiCn"/>
          <w:bCs/>
          <w:i/>
          <w:lang w:val="sr-Latn-CS" w:eastAsia="zh-CN"/>
        </w:rPr>
        <w:t>Инвестиције</w:t>
      </w:r>
      <w:r w:rsidR="00AA4DB4" w:rsidRPr="002C69C3">
        <w:rPr>
          <w:rFonts w:ascii="Calibri" w:eastAsia="SimSun" w:hAnsi="Calibri" w:cs="MyriadPro-LightSemiCn"/>
          <w:bCs/>
          <w:i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i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i/>
          <w:lang w:val="sr-Latn-CS" w:eastAsia="zh-CN"/>
        </w:rPr>
        <w:t xml:space="preserve"> </w:t>
      </w:r>
      <w:r w:rsidR="00D72FC0">
        <w:rPr>
          <w:rFonts w:ascii="Calibri" w:eastAsia="SimSun" w:hAnsi="Calibri" w:cs="MyriadPro-LightSemiCn"/>
          <w:bCs/>
          <w:i/>
          <w:lang w:val="sr-Latn-CS" w:eastAsia="zh-CN"/>
        </w:rPr>
        <w:t>основн</w:t>
      </w:r>
      <w:r w:rsidR="00D72FC0">
        <w:rPr>
          <w:rFonts w:ascii="Calibri" w:eastAsia="SimSun" w:hAnsi="Calibri" w:cs="MyriadPro-LightSemiCn"/>
          <w:bCs/>
          <w:i/>
          <w:lang w:val="sr-Cyrl-RS" w:eastAsia="zh-CN"/>
        </w:rPr>
        <w:t>а</w:t>
      </w:r>
      <w:r w:rsidR="00AA4DB4" w:rsidRPr="002C69C3">
        <w:rPr>
          <w:rFonts w:ascii="Calibri" w:eastAsia="SimSun" w:hAnsi="Calibri" w:cs="MyriadPro-LightSemiCn"/>
          <w:bCs/>
          <w:i/>
          <w:lang w:val="sr-Latn-CS" w:eastAsia="zh-CN"/>
        </w:rPr>
        <w:t xml:space="preserve"> </w:t>
      </w:r>
      <w:r w:rsidR="00D72FC0">
        <w:rPr>
          <w:rFonts w:ascii="Calibri" w:eastAsia="SimSun" w:hAnsi="Calibri" w:cs="MyriadPro-LightSemiCn"/>
          <w:bCs/>
          <w:i/>
          <w:lang w:val="sr-Cyrl-RS" w:eastAsia="zh-CN"/>
        </w:rPr>
        <w:t>средства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представљају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набавке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основних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 w:rsidR="00D72FC0">
        <w:rPr>
          <w:rFonts w:ascii="Calibri" w:eastAsia="SimSun" w:hAnsi="Calibri" w:cs="MyriadPro-LightSemiCn"/>
          <w:bCs/>
          <w:lang w:val="sr-Cyrl-RS" w:eastAsia="zh-CN"/>
        </w:rPr>
        <w:t>средстава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остварене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од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стране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пословних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субјеката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земљи</w:t>
      </w:r>
      <w:r w:rsidR="007B499A">
        <w:rPr>
          <w:rFonts w:ascii="Calibri" w:eastAsia="SimSun" w:hAnsi="Calibri" w:cs="MyriadPro-LightSemiCn"/>
          <w:bCs/>
          <w:lang w:val="sr-Latn-CS" w:eastAsia="zh-CN"/>
        </w:rPr>
        <w:t>,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циљу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добијања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нових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повећања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вредности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или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замене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постојећих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капацитета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Cs/>
          <w:lang w:val="sr-Latn-CS" w:eastAsia="zh-CN"/>
        </w:rPr>
        <w:t>умањене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за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дезинвестирање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Cs/>
          <w:lang w:val="sr-Latn-CS" w:eastAsia="zh-CN"/>
        </w:rPr>
        <w:t>тј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. </w:t>
      </w:r>
      <w:r>
        <w:rPr>
          <w:rFonts w:ascii="Calibri" w:eastAsia="SimSun" w:hAnsi="Calibri" w:cs="MyriadPro-LightSemiCn"/>
          <w:bCs/>
          <w:lang w:val="sr-Latn-CS" w:eastAsia="zh-CN"/>
        </w:rPr>
        <w:t>отуђење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основних</w:t>
      </w:r>
      <w:r w:rsidR="00E65320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 w:rsidR="007F0652">
        <w:rPr>
          <w:rFonts w:ascii="Calibri" w:eastAsia="SimSun" w:hAnsi="Calibri" w:cs="MyriadPro-LightSemiCn"/>
          <w:bCs/>
          <w:lang w:val="sr-Cyrl-RS" w:eastAsia="zh-CN"/>
        </w:rPr>
        <w:t>средстава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(</w:t>
      </w:r>
      <w:r>
        <w:rPr>
          <w:rFonts w:ascii="Calibri" w:eastAsia="SimSun" w:hAnsi="Calibri" w:cs="MyriadPro-LightSemiCn"/>
          <w:bCs/>
          <w:lang w:val="sr-Latn-CS" w:eastAsia="zh-CN"/>
        </w:rPr>
        <w:t>продаја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, </w:t>
      </w:r>
      <w:r w:rsidR="007F0652">
        <w:rPr>
          <w:rFonts w:ascii="Calibri" w:eastAsia="SimSun" w:hAnsi="Calibri" w:cs="MyriadPro-LightSemiCn"/>
          <w:bCs/>
          <w:lang w:val="sr-Cyrl-CS" w:eastAsia="zh-CN"/>
        </w:rPr>
        <w:t>основна средства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дат</w:t>
      </w:r>
      <w:r w:rsidR="007F0652">
        <w:rPr>
          <w:rFonts w:ascii="Calibri" w:eastAsia="SimSun" w:hAnsi="Calibri" w:cs="MyriadPro-LightSemiCn"/>
          <w:bCs/>
          <w:lang w:val="sr-Cyrl-CS" w:eastAsia="zh-CN"/>
        </w:rPr>
        <w:t>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трампи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капитални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трансфери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натури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). </w:t>
      </w:r>
      <w:r w:rsidR="007F0652">
        <w:rPr>
          <w:rFonts w:ascii="Calibri" w:eastAsia="SimSun" w:hAnsi="Calibri" w:cs="MyriadPro-LightSemiCn"/>
          <w:bCs/>
          <w:i/>
          <w:lang w:val="sr-Latn-CS" w:eastAsia="zh-CN"/>
        </w:rPr>
        <w:t>Основн</w:t>
      </w:r>
      <w:r w:rsidR="007F0652">
        <w:rPr>
          <w:rFonts w:ascii="Calibri" w:eastAsia="SimSun" w:hAnsi="Calibri" w:cs="MyriadPro-LightSemiCn"/>
          <w:bCs/>
          <w:i/>
          <w:lang w:val="sr-Cyrl-RS" w:eastAsia="zh-CN"/>
        </w:rPr>
        <w:t>а</w:t>
      </w:r>
      <w:r w:rsidR="00AA4DB4" w:rsidRPr="002C69C3">
        <w:rPr>
          <w:rFonts w:ascii="Calibri" w:eastAsia="SimSun" w:hAnsi="Calibri" w:cs="MyriadPro-LightSemiCn"/>
          <w:bCs/>
          <w:i/>
          <w:lang w:val="sr-Latn-CS" w:eastAsia="zh-CN"/>
        </w:rPr>
        <w:t xml:space="preserve"> </w:t>
      </w:r>
      <w:r w:rsidR="007F0652">
        <w:rPr>
          <w:rFonts w:ascii="Calibri" w:eastAsia="SimSun" w:hAnsi="Calibri" w:cs="MyriadPro-LightSemiCn"/>
          <w:bCs/>
          <w:i/>
          <w:lang w:val="sr-Cyrl-RS" w:eastAsia="zh-CN"/>
        </w:rPr>
        <w:t>средства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представљају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сва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материјална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нематеријална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средства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која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се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користе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процесу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производње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дужем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периоду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(</w:t>
      </w:r>
      <w:r>
        <w:rPr>
          <w:rFonts w:ascii="Calibri" w:eastAsia="SimSun" w:hAnsi="Calibri" w:cs="MyriadPro-LightSemiCn"/>
          <w:bCs/>
          <w:lang w:val="sr-Latn-CS" w:eastAsia="zh-CN"/>
        </w:rPr>
        <w:t>најмање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једну</w:t>
      </w:r>
      <w:r w:rsidR="00E65320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годину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), </w:t>
      </w:r>
      <w:r>
        <w:rPr>
          <w:rFonts w:ascii="Calibri" w:eastAsia="SimSun" w:hAnsi="Calibri" w:cs="MyriadPro-LightSemiCn"/>
          <w:bCs/>
          <w:lang w:val="sr-Latn-CS" w:eastAsia="zh-CN"/>
        </w:rPr>
        <w:t>при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чему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се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Cs/>
          <w:lang w:val="sr-Latn-CS" w:eastAsia="zh-CN"/>
        </w:rPr>
        <w:t>без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мењања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првобитног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облика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Cs/>
          <w:lang w:val="sr-Latn-CS" w:eastAsia="zh-CN"/>
        </w:rPr>
        <w:t>поступно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троше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преношењем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њихове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вредности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на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нове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производе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и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услуге</w:t>
      </w:r>
      <w:r w:rsidR="00AA4DB4" w:rsidRPr="002C69C3">
        <w:rPr>
          <w:rFonts w:ascii="Calibri" w:eastAsia="SimSun" w:hAnsi="Calibri" w:cs="MyriadPro-LightSemiCn"/>
          <w:bCs/>
          <w:lang w:val="sr-Latn-CS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Могу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бити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купљени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земљи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иностранству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стечени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трампом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примљени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капитални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трансфери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натури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произведени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задржани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сопствену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употребу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набављени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путем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финансијског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лизинга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разлику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од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основних</w:t>
      </w:r>
      <w:r w:rsidR="00E65320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 w:rsidR="007F0652">
        <w:rPr>
          <w:rFonts w:ascii="Calibri" w:eastAsia="SimSun" w:hAnsi="Calibri" w:cs="MyriadPro-LightSemiCn"/>
          <w:bCs/>
          <w:lang w:val="sr-Cyrl-RS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набављених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путем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финансијског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лизинга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по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основу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кога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прималац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лизинга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стиче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слична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права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да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је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власник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тих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добара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sr-Latn-CS" w:eastAsia="zh-CN"/>
        </w:rPr>
        <w:t>средства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обезбеђен</w:t>
      </w:r>
      <w:r>
        <w:rPr>
          <w:rFonts w:ascii="Calibri" w:eastAsia="SimSun" w:hAnsi="Calibri" w:cs="MyriadPro-LightSemiCn"/>
          <w:bCs/>
          <w:lang w:val="sr-Latn-CS" w:eastAsia="zh-CN"/>
        </w:rPr>
        <w:t>а</w:t>
      </w:r>
      <w:r w:rsidR="00E65320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путем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оперативног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лизинга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(</w:t>
      </w:r>
      <w:r>
        <w:rPr>
          <w:rFonts w:ascii="Calibri" w:eastAsia="SimSun" w:hAnsi="Calibri" w:cs="MyriadPro-LightSemiCn"/>
          <w:bCs/>
          <w:lang w:val="ru-RU" w:eastAsia="zh-CN"/>
        </w:rPr>
        <w:t>закуп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опреме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објеката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) </w:t>
      </w:r>
      <w:r>
        <w:rPr>
          <w:rFonts w:ascii="Calibri" w:eastAsia="SimSun" w:hAnsi="Calibri" w:cs="MyriadPro-LightSemiCn"/>
          <w:bCs/>
          <w:lang w:val="ru-RU" w:eastAsia="zh-CN"/>
        </w:rPr>
        <w:t>не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сматрају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инвестицијама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Смањење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вредности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 w:rsidR="007F0652">
        <w:rPr>
          <w:rFonts w:ascii="Calibri" w:eastAsia="SimSun" w:hAnsi="Calibri" w:cs="MyriadPro-LightSemiCn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настало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резултат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њиховог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трошења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застаревања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, </w:t>
      </w:r>
      <w:r>
        <w:rPr>
          <w:rFonts w:ascii="Calibri" w:eastAsia="SimSun" w:hAnsi="Calibri" w:cs="MyriadPro-LightSemiCn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ванредни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sr-Latn-CS" w:eastAsia="zh-CN"/>
        </w:rPr>
        <w:t>и</w:t>
      </w:r>
      <w:r w:rsidR="00E65320">
        <w:rPr>
          <w:rFonts w:ascii="Calibri" w:eastAsia="SimSun" w:hAnsi="Calibri" w:cs="MyriadPro-LightSemiCn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катастрофални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губици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sr-Latn-CS" w:eastAsia="zh-CN"/>
        </w:rPr>
        <w:t>услед</w:t>
      </w:r>
      <w:r w:rsidR="00E65320">
        <w:rPr>
          <w:rFonts w:ascii="Calibri" w:eastAsia="SimSun" w:hAnsi="Calibri" w:cs="MyriadPro-LightSemiCn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lang w:val="sr-Latn-CS" w:eastAsia="zh-CN"/>
        </w:rPr>
        <w:t>поплава</w:t>
      </w:r>
      <w:r w:rsidR="00E65320">
        <w:rPr>
          <w:rFonts w:ascii="Calibri" w:eastAsia="SimSun" w:hAnsi="Calibri" w:cs="MyriadPro-LightSemiCn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lang w:val="ru-RU" w:eastAsia="zh-CN"/>
        </w:rPr>
        <w:t>пожар</w:t>
      </w:r>
      <w:r>
        <w:rPr>
          <w:rFonts w:ascii="Calibri" w:eastAsia="SimSun" w:hAnsi="Calibri" w:cs="MyriadPro-LightSemiCn"/>
          <w:lang w:val="sr-Latn-CS" w:eastAsia="zh-CN"/>
        </w:rPr>
        <w:t>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, </w:t>
      </w:r>
      <w:r>
        <w:rPr>
          <w:rFonts w:ascii="Calibri" w:eastAsia="SimSun" w:hAnsi="Calibri" w:cs="MyriadPro-LightSemiCn"/>
          <w:lang w:val="sr-Latn-CS" w:eastAsia="zh-CN"/>
        </w:rPr>
        <w:t>суше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, </w:t>
      </w:r>
      <w:r>
        <w:rPr>
          <w:rFonts w:ascii="Calibri" w:eastAsia="SimSun" w:hAnsi="Calibri" w:cs="MyriadPro-LightSemiCn"/>
          <w:lang w:val="ru-RU" w:eastAsia="zh-CN"/>
        </w:rPr>
        <w:t>епидемије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болести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гајених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животиња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, </w:t>
      </w:r>
      <w:r>
        <w:rPr>
          <w:rFonts w:ascii="Calibri" w:eastAsia="SimSun" w:hAnsi="Calibri" w:cs="MyriadPro-LightSemiCn"/>
          <w:lang w:val="ru-RU" w:eastAsia="zh-CN"/>
        </w:rPr>
        <w:t>ратн</w:t>
      </w:r>
      <w:r>
        <w:rPr>
          <w:rFonts w:ascii="Calibri" w:eastAsia="SimSun" w:hAnsi="Calibri" w:cs="MyriadPro-LightSemiCn"/>
          <w:lang w:val="sr-Latn-CS" w:eastAsia="zh-CN"/>
        </w:rPr>
        <w:t>их</w:t>
      </w:r>
      <w:r w:rsidR="00306EFD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разарања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др</w:t>
      </w:r>
      <w:r w:rsidR="00AA4DB4" w:rsidRPr="00635DB1">
        <w:rPr>
          <w:rFonts w:ascii="Calibri" w:eastAsia="SimSun" w:hAnsi="Calibri" w:cs="MyriadPro-LightSemiCn"/>
          <w:lang w:val="ru-RU" w:eastAsia="zh-CN"/>
        </w:rPr>
        <w:t>.</w:t>
      </w:r>
      <w:r w:rsidR="007B499A">
        <w:rPr>
          <w:rFonts w:ascii="Calibri" w:eastAsia="SimSun" w:hAnsi="Calibri" w:cs="MyriadPro-LightSemiCn"/>
          <w:lang w:val="sr-Latn-CS" w:eastAsia="zh-CN"/>
        </w:rPr>
        <w:t>,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не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сматрају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смањењем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lang w:val="ru-RU" w:eastAsia="zh-CN"/>
        </w:rPr>
        <w:t>.</w:t>
      </w:r>
    </w:p>
    <w:p w:rsidR="009A2ED7" w:rsidRPr="00635DB1" w:rsidRDefault="00C64365" w:rsidP="008E14FF">
      <w:pPr>
        <w:spacing w:after="120"/>
        <w:ind w:firstLine="720"/>
        <w:jc w:val="both"/>
        <w:rPr>
          <w:rFonts w:ascii="Calibri" w:eastAsia="SimSun" w:hAnsi="Calibri" w:cs="MyriadPro-LightSemiCn"/>
          <w:bCs/>
          <w:lang w:val="ru-RU" w:eastAsia="zh-CN"/>
        </w:rPr>
      </w:pPr>
      <w:r>
        <w:rPr>
          <w:rFonts w:ascii="Calibri" w:eastAsia="SimSun" w:hAnsi="Calibri" w:cs="MyriadPro-LightSemiCn"/>
          <w:bCs/>
          <w:lang w:val="sr-Latn-CS" w:eastAsia="zh-CN"/>
        </w:rPr>
        <w:t>Опредељивање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за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одређени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тип</w:t>
      </w:r>
      <w:r w:rsidR="00344DD5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инвестиција</w:t>
      </w:r>
      <w:r w:rsidR="00344DD5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веома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је</w:t>
      </w:r>
      <w:r w:rsidR="009A2ED7" w:rsidRPr="00635DB1" w:rsidDel="00344DD5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значајн</w:t>
      </w:r>
      <w:r>
        <w:rPr>
          <w:rFonts w:ascii="Calibri" w:eastAsia="SimSun" w:hAnsi="Calibri" w:cs="MyriadPro-LightSemiCn"/>
          <w:bCs/>
          <w:lang w:val="sr-Latn-CS" w:eastAsia="zh-CN"/>
        </w:rPr>
        <w:t>о</w:t>
      </w:r>
      <w:r w:rsidR="00344DD5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становишта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креирања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економске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политике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усмеравање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правца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развоја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економије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једне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земље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машине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опрему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рачунарске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програме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др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повећавају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производну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способност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земље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док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нпр</w:t>
      </w:r>
      <w:r w:rsidR="009A2ED7">
        <w:rPr>
          <w:rFonts w:ascii="Calibri" w:eastAsia="SimSun" w:hAnsi="Calibri" w:cs="MyriadPro-LightSemiCn"/>
          <w:bCs/>
          <w:lang w:val="sr-Latn-CS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саобраћајну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инфраструктуру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стамбене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остале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зграде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у</w:t>
      </w:r>
      <w:r>
        <w:rPr>
          <w:rFonts w:ascii="Calibri" w:eastAsia="SimSun" w:hAnsi="Calibri" w:cs="MyriadPro-LightSemiCn"/>
          <w:bCs/>
          <w:lang w:val="ru-RU" w:eastAsia="zh-CN"/>
        </w:rPr>
        <w:t>већавају</w:t>
      </w:r>
      <w:r w:rsidR="00E07906" w:rsidRPr="008E4CA5">
        <w:rPr>
          <w:rFonts w:ascii="Calibri" w:eastAsia="SimSun" w:hAnsi="Calibri" w:cs="MyriadPro-LightSemiCn"/>
          <w:bCs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Cs/>
          <w:lang w:val="sr-Latn-CS" w:eastAsia="zh-CN"/>
        </w:rPr>
        <w:t>друштвено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богатство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стварају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предуслов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ефикасност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свих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осталих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категорија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. </w:t>
      </w:r>
      <w:r>
        <w:rPr>
          <w:rFonts w:ascii="Calibri" w:eastAsia="SimSun" w:hAnsi="Calibri" w:cs="MyriadPro-LightSemiCn"/>
          <w:bCs/>
          <w:lang w:val="ru-RU" w:eastAsia="zh-CN"/>
        </w:rPr>
        <w:t>Према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 w:rsidR="00F16B55">
        <w:rPr>
          <w:rFonts w:ascii="Calibri" w:eastAsia="SimSun" w:hAnsi="Calibri" w:cs="MyriadPro-LightSemiCn"/>
          <w:bCs/>
          <w:lang w:val="ru-RU" w:eastAsia="zh-CN"/>
        </w:rPr>
        <w:t>врсти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основних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 w:rsidR="007F0652">
        <w:rPr>
          <w:rFonts w:ascii="Calibri" w:eastAsia="SimSun" w:hAnsi="Calibri" w:cs="MyriadPro-LightSemiCn"/>
          <w:bCs/>
          <w:lang w:val="ru-RU" w:eastAsia="zh-CN"/>
        </w:rPr>
        <w:t>средстава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инвестиције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се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деле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на</w:t>
      </w:r>
      <w:r w:rsidR="009A2ED7" w:rsidRPr="00635DB1">
        <w:rPr>
          <w:rFonts w:ascii="Calibri" w:eastAsia="SimSun" w:hAnsi="Calibri" w:cs="MyriadPro-LightSemiCn"/>
          <w:bCs/>
          <w:lang w:val="ru-RU" w:eastAsia="zh-CN"/>
        </w:rPr>
        <w:t xml:space="preserve">:  </w:t>
      </w:r>
    </w:p>
    <w:p w:rsidR="009A2ED7" w:rsidRPr="00A761EE" w:rsidRDefault="00C64365" w:rsidP="00FD1164">
      <w:pPr>
        <w:pStyle w:val="BodyTextIndent"/>
        <w:numPr>
          <w:ilvl w:val="0"/>
          <w:numId w:val="20"/>
        </w:numPr>
        <w:tabs>
          <w:tab w:val="left" w:pos="630"/>
        </w:tabs>
        <w:spacing w:line="252" w:lineRule="auto"/>
        <w:ind w:left="180" w:firstLine="1080"/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стамбене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зграде</w:t>
      </w:r>
      <w:r w:rsidR="00A761EE" w:rsidRP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3F2191" w:rsidRP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A761EE" w:rsidRP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улагања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грађевине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које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користе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стално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становање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или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повремени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боравак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нпр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одмор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),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као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што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су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породичне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куће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стамбене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зграде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сеоским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имањима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виле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викендице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летњиковци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планинске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колибе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ловачке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куће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сл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>.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као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зграде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становање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заједница</w:t>
      </w:r>
      <w:r w:rsid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;</w:t>
      </w:r>
    </w:p>
    <w:p w:rsidR="009A2ED7" w:rsidRPr="00A761EE" w:rsidRDefault="00C64365" w:rsidP="00FD1164">
      <w:pPr>
        <w:pStyle w:val="BodyTextIndent"/>
        <w:numPr>
          <w:ilvl w:val="0"/>
          <w:numId w:val="20"/>
        </w:numPr>
        <w:tabs>
          <w:tab w:val="left" w:pos="630"/>
        </w:tabs>
        <w:spacing w:line="252" w:lineRule="auto"/>
        <w:ind w:left="180" w:firstLine="1080"/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остале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зграде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грађевине</w:t>
      </w:r>
      <w:r w:rsidR="00A761EE" w:rsidRP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–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нестамбене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зграде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остале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грађевине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саобраћајна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инфраструктура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цевоводи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комуникациони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електрични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водови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,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сложене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индустријске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остале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непоменуте</w:t>
      </w:r>
      <w:r w:rsidR="00A761EE" w:rsidRPr="00A761EE">
        <w:rPr>
          <w:rFonts w:ascii="Calibri" w:eastAsia="SimSun" w:hAnsi="Calibri" w:cs="MyriadPro-LightSemiCn"/>
          <w:b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грађевине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)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као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значајнија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побољшања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преноса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власништва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Значајнија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побољшања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представљају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повећање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искористивог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настало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крчењем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шума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каменитог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тла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исушивањем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мочвара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изградњом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насипа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одводних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канала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заштитом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поплава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ерозије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изградњом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заштитних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објеката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брана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баријера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сл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</w:t>
      </w:r>
      <w:r w:rsidR="00A761EE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;</w:t>
      </w:r>
    </w:p>
    <w:p w:rsidR="009A2ED7" w:rsidRPr="00A761EE" w:rsidRDefault="00C64365" w:rsidP="00FD1164">
      <w:pPr>
        <w:pStyle w:val="BodyTextIndent"/>
        <w:numPr>
          <w:ilvl w:val="0"/>
          <w:numId w:val="20"/>
        </w:numPr>
        <w:tabs>
          <w:tab w:val="left" w:pos="630"/>
        </w:tabs>
        <w:spacing w:line="252" w:lineRule="auto"/>
        <w:ind w:left="180" w:firstLine="1080"/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lastRenderedPageBreak/>
        <w:t>инвестиције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машине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опрему</w:t>
      </w:r>
      <w:r w:rsidR="00A761EE" w:rsidRP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A761E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набавк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домаће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увозне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транспортне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информационо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-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комуникационих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технологија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опреме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свих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осталих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врста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машина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трошковима</w:t>
      </w:r>
      <w:r w:rsidR="00A761EE" w:rsidRPr="00A761EE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монтаже</w:t>
      </w:r>
      <w:r w:rsid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;</w:t>
      </w:r>
    </w:p>
    <w:p w:rsidR="009A2ED7" w:rsidRPr="00A761EE" w:rsidRDefault="00C64365" w:rsidP="00FD1164">
      <w:pPr>
        <w:pStyle w:val="BodyTextIndent"/>
        <w:numPr>
          <w:ilvl w:val="0"/>
          <w:numId w:val="20"/>
        </w:numPr>
        <w:tabs>
          <w:tab w:val="left" w:pos="630"/>
        </w:tabs>
        <w:spacing w:line="252" w:lineRule="auto"/>
        <w:ind w:left="180" w:firstLine="1080"/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култивисане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биолошке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ресурсе</w:t>
      </w:r>
      <w:r w:rsidR="009A2ED7" w:rsidRPr="003F219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улагања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дугогодишње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засаде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воћна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стабла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винову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лозу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животиње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узгајане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репродукцију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транспорт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производњу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млека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вуне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неких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других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периоду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дужем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једне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године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Дрвеће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намењено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сечу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једногодишњи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усеви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животиње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узгајају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искључиво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клање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сматрају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им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средствима</w:t>
      </w:r>
      <w:r w:rsid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;</w:t>
      </w:r>
    </w:p>
    <w:p w:rsidR="009A2ED7" w:rsidRPr="00635DB1" w:rsidRDefault="00C64365" w:rsidP="00FD1164">
      <w:pPr>
        <w:pStyle w:val="BodyTextIndent"/>
        <w:numPr>
          <w:ilvl w:val="0"/>
          <w:numId w:val="20"/>
        </w:numPr>
        <w:tabs>
          <w:tab w:val="left" w:pos="630"/>
        </w:tabs>
        <w:spacing w:after="120" w:line="252" w:lineRule="auto"/>
        <w:ind w:left="180" w:firstLine="108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интелектуалну</w:t>
      </w:r>
      <w:r w:rsidR="009A2ED7" w:rsidRPr="00A761EE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својину</w:t>
      </w:r>
      <w:r w:rsidR="002542CC" w:rsidRP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9A2ED7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развој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набавку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рачунарских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програма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софтвера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)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великих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база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података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користе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процесу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производње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дуже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једне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године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истраживање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развој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рударска</w:t>
      </w:r>
      <w:r w:rsidR="00127B22" w:rsidRPr="00127B2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минерална</w:t>
      </w:r>
      <w:r w:rsidR="00127B22" w:rsidRPr="00127B2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)</w:t>
      </w:r>
      <w:r w:rsidR="002542CC" w:rsidRPr="00127B2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истраживања</w:t>
      </w:r>
      <w:r w:rsidR="002542CC" w:rsidRPr="00127B2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,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књижевне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уметничке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оригинале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осталу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интелектуалну</w:t>
      </w:r>
      <w:r w:rsidR="002542CC" w:rsidRPr="002542CC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својину</w:t>
      </w:r>
      <w:r w:rsidR="002542C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.</w:t>
      </w:r>
    </w:p>
    <w:p w:rsidR="00AA4DB4" w:rsidRPr="00635DB1" w:rsidRDefault="00366217" w:rsidP="00244F34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 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инвестира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могу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бити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нова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већ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кориш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ћена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половна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).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нов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односе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набавку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основних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који</w:t>
      </w:r>
      <w:r w:rsidR="00FA7B3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до</w:t>
      </w:r>
      <w:r w:rsidR="00FA7B3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сада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нису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бил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предмет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купопродаје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размене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између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непосредних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корисника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добара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(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набавке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извршене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непосредно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извођача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грађевинских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радова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произвођача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произведена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сопственој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режији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).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Такође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обухватају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побољшања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постојећих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побољшања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преноса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власништва</w:t>
      </w:r>
      <w:r w:rsidR="00FA7B3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(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посредовања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проценитеља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адвоката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инжењера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аукцијски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порези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</w:t>
      </w:r>
      <w:r w:rsidR="00FA7B35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.)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других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непроизведених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половну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набављену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иностранству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половне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путничке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аутомобиле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набављене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физичких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лица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побољшања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постојећих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обухватају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реновирање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реконструкцију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проширење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чиме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повећава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производни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капацитет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/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продужава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радни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век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Значајнија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побољшања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постојећих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треба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разликовати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редовног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одржавања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поправки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сматрају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C64365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</w:t>
      </w:r>
    </w:p>
    <w:p w:rsidR="00AA4DB4" w:rsidRPr="00635DB1" w:rsidRDefault="00C64365" w:rsidP="00244F34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половн</w:t>
      </w:r>
      <w:r w:rsidR="00366217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односе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нису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набављена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непосредно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извођача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грађевинских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радова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произвођача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нити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произведен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сопственој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режији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Обухватају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вредност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набављеног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док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преноса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власништва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тог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земљишта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сматрају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нова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 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</w:t>
      </w:r>
    </w:p>
    <w:p w:rsidR="00AA4DB4" w:rsidRPr="00635DB1" w:rsidRDefault="00C64365" w:rsidP="00244F34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Према</w:t>
      </w:r>
      <w:r w:rsidR="00F837F7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карактеру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изградње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намени</w:t>
      </w:r>
      <w:r w:rsidR="00F837F7" w:rsidRPr="00635DB1">
        <w:rPr>
          <w:rFonts w:ascii="Calibri" w:eastAsia="SimSun" w:hAnsi="Calibri" w:cs="MyriadPro-LightSemiCn"/>
          <w:b w:val="0"/>
          <w:bCs w:val="0"/>
          <w:u w:val="none"/>
          <w:lang w:eastAsia="zh-CN"/>
        </w:rPr>
        <w:t>,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нова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деле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: </w:t>
      </w:r>
    </w:p>
    <w:p w:rsidR="00AA4DB4" w:rsidRPr="00635DB1" w:rsidRDefault="00C64365" w:rsidP="00D14B70">
      <w:pPr>
        <w:pStyle w:val="BodyTextIndent"/>
        <w:numPr>
          <w:ilvl w:val="0"/>
          <w:numId w:val="21"/>
        </w:numPr>
        <w:tabs>
          <w:tab w:val="left" w:pos="630"/>
        </w:tabs>
        <w:spacing w:line="252" w:lineRule="auto"/>
        <w:ind w:left="0" w:firstLine="117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изградњу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набавку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нових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капацитета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–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све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категорије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нових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наставак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градње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раније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обустављених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; </w:t>
      </w:r>
    </w:p>
    <w:p w:rsidR="00AA4DB4" w:rsidRPr="00635DB1" w:rsidRDefault="00C64365" w:rsidP="00D14B70">
      <w:pPr>
        <w:pStyle w:val="BodyTextIndent"/>
        <w:numPr>
          <w:ilvl w:val="0"/>
          <w:numId w:val="21"/>
        </w:numPr>
        <w:tabs>
          <w:tab w:val="left" w:pos="-360"/>
          <w:tab w:val="left" w:pos="630"/>
        </w:tabs>
        <w:spacing w:line="252" w:lineRule="auto"/>
        <w:ind w:left="0" w:firstLine="117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реконструкцију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модернизацију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доградњу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проширење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коришћених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основних</w:t>
      </w:r>
      <w:r w:rsidR="005F67A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366217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3F219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–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преуређење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lastRenderedPageBreak/>
        <w:t>проширење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постојећих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објеката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уређаја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циљу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повећања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обима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бољег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прилагођавања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потребама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тржишта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измене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техничко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-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технолошких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решења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услуга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; </w:t>
      </w:r>
    </w:p>
    <w:p w:rsidR="00AA4DB4" w:rsidRPr="00635DB1" w:rsidRDefault="00C64365" w:rsidP="00D14B70">
      <w:pPr>
        <w:pStyle w:val="BodyTextIndent"/>
        <w:numPr>
          <w:ilvl w:val="0"/>
          <w:numId w:val="21"/>
        </w:numPr>
        <w:tabs>
          <w:tab w:val="left" w:pos="-360"/>
          <w:tab w:val="left" w:pos="630"/>
        </w:tabs>
        <w:spacing w:after="120" w:line="252" w:lineRule="auto"/>
        <w:ind w:left="0" w:firstLine="117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одржавање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нивоа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постојећих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капацитета</w:t>
      </w:r>
      <w:r w:rsidR="00AA4DB4" w:rsidRPr="0017033D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17033D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–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улагања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циљу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замене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застарелих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истрошених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уништених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</w:p>
    <w:p w:rsidR="00AA4DB4" w:rsidRPr="00635DB1" w:rsidRDefault="00C64365" w:rsidP="00DC45AE">
      <w:pPr>
        <w:spacing w:after="120" w:line="252" w:lineRule="auto"/>
        <w:ind w:firstLine="907"/>
        <w:jc w:val="both"/>
        <w:rPr>
          <w:rFonts w:ascii="Calibri" w:eastAsia="SimSun" w:hAnsi="Calibri" w:cs="MyriadPro-LightSemiCn"/>
          <w:lang w:val="ru-RU" w:eastAsia="zh-CN"/>
        </w:rPr>
      </w:pPr>
      <w:r>
        <w:rPr>
          <w:rFonts w:ascii="Calibri" w:eastAsia="SimSun" w:hAnsi="Calibri" w:cs="MyriadPro-LightSemiCn"/>
          <w:lang w:val="ru-RU" w:eastAsia="zh-CN"/>
        </w:rPr>
        <w:t>Прве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две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категорије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утичу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проширење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унапређење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капацитета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са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циљем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усавршавања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повећања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производње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. </w:t>
      </w:r>
      <w:r>
        <w:rPr>
          <w:rFonts w:ascii="Calibri" w:eastAsia="SimSun" w:hAnsi="Calibri" w:cs="MyriadPro-LightSemiCn"/>
          <w:lang w:val="ru-RU" w:eastAsia="zh-CN"/>
        </w:rPr>
        <w:t>Трећа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категорија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представља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инвестирање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ради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одржања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континуитета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призводње</w:t>
      </w:r>
      <w:r w:rsidR="0017033D">
        <w:rPr>
          <w:rFonts w:ascii="Calibri" w:eastAsia="SimSun" w:hAnsi="Calibri" w:cs="MyriadPro-LightSemiCn"/>
          <w:lang w:val="sr-Latn-CS" w:eastAsia="zh-CN"/>
        </w:rPr>
        <w:t>,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што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утиче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интензивирање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рационализацију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процеса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рада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, </w:t>
      </w:r>
      <w:r>
        <w:rPr>
          <w:rFonts w:ascii="Calibri" w:eastAsia="SimSun" w:hAnsi="Calibri" w:cs="MyriadPro-LightSemiCn"/>
          <w:lang w:val="ru-RU" w:eastAsia="zh-CN"/>
        </w:rPr>
        <w:t>али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не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проширење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расположивих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капацитета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битније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измене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постојећој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врсти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производа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, </w:t>
      </w:r>
      <w:r>
        <w:rPr>
          <w:rFonts w:ascii="Calibri" w:eastAsia="SimSun" w:hAnsi="Calibri" w:cs="MyriadPro-LightSemiCn"/>
          <w:lang w:val="ru-RU" w:eastAsia="zh-CN"/>
        </w:rPr>
        <w:t>услуга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технологије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рада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. </w:t>
      </w:r>
      <w:r>
        <w:rPr>
          <w:rFonts w:ascii="Calibri" w:eastAsia="SimSun" w:hAnsi="Calibri" w:cs="MyriadPro-LightSemiCn"/>
          <w:lang w:val="ru-RU" w:eastAsia="zh-CN"/>
        </w:rPr>
        <w:t>Ова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подела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је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sr-Latn-CS" w:eastAsia="zh-CN"/>
        </w:rPr>
        <w:t>битна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анализу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ефикасности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одређивања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правца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развоја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пословних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субјеката</w:t>
      </w:r>
      <w:r w:rsidR="00AA4DB4" w:rsidRPr="00635DB1">
        <w:rPr>
          <w:rFonts w:ascii="Calibri" w:eastAsia="SimSun" w:hAnsi="Calibri" w:cs="MyriadPro-LightSemiCn"/>
          <w:lang w:val="ru-RU" w:eastAsia="zh-CN"/>
        </w:rPr>
        <w:t>.</w:t>
      </w:r>
    </w:p>
    <w:p w:rsidR="00AA4DB4" w:rsidRPr="00635DB1" w:rsidRDefault="00C64365" w:rsidP="00DC45AE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Када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говори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вредновању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</w:t>
      </w:r>
      <w:r w:rsidR="005F67A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,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уводи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појам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остварених</w:t>
      </w:r>
      <w:r w:rsidR="00AA4DB4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представљају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вредност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ефективно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извршене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изградње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израде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набавке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објеката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опреме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осталих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основних</w:t>
      </w:r>
      <w:r w:rsidR="005F67A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без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обзира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завршени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њихова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исплата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извршена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вредност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остварених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укључују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: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цена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произвођача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трговинска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маржа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транспортни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монтаже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израде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студија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пројеката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инвестиционих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елабората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експертиза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техничког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прегледа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преноса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власништва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индиректни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порези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таксе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накнаде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без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ревалоризације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).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Порез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додату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вредност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укључује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само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случају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када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пословни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субјект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право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његов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одбитак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Уколико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произведена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тј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изграђена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сопственој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режији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користе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сопствене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потребе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вреднују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трошковима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Смањење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вредности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настало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резултат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продаје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исказује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према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вредности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купопродајном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уговору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умањеној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трошкове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преноса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власништва</w:t>
      </w:r>
      <w:r w:rsidR="00AA4DB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</w:p>
    <w:p w:rsidR="00B21760" w:rsidRPr="00635DB1" w:rsidRDefault="00C64365" w:rsidP="00244F34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Исплатама</w:t>
      </w:r>
      <w:r w:rsidR="00B21760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за</w:t>
      </w:r>
      <w:r w:rsidR="00B21760" w:rsidRPr="00635DB1"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инвестиције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сматрају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новчана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улагања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току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године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којој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исплате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стварно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извршене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без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обзира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моменат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изградње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или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набавке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средстава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Исплатама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обухватају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отплате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комерцијалних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кредита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финансијског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лизинга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искоришћених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току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године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исплаћене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курсне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разлике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текућој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години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без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обзира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то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када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настале</w:t>
      </w:r>
      <w:r w:rsidR="00B2176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</w:t>
      </w:r>
    </w:p>
    <w:p w:rsidR="00C145EB" w:rsidRDefault="00C64365" w:rsidP="008E14FF">
      <w:pPr>
        <w:spacing w:after="240" w:line="252" w:lineRule="auto"/>
        <w:ind w:firstLine="720"/>
        <w:jc w:val="both"/>
        <w:rPr>
          <w:rFonts w:ascii="Calibri" w:hAnsi="Calibri"/>
          <w:lang w:val="sr-Cyrl-RS"/>
        </w:rPr>
      </w:pPr>
      <w:r>
        <w:rPr>
          <w:rFonts w:ascii="Calibri" w:eastAsia="SimSun" w:hAnsi="Calibri" w:cs="MyriadPro-LightSemiCn"/>
          <w:lang w:val="sr-Latn-CS" w:eastAsia="zh-CN"/>
        </w:rPr>
        <w:t>Постоје</w:t>
      </w:r>
      <w:r w:rsidR="00C10E93" w:rsidRPr="00D14B70">
        <w:rPr>
          <w:rFonts w:ascii="Calibri" w:eastAsia="SimSun" w:hAnsi="Calibri" w:cs="MyriadPro-LightSemiCn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два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концепта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 </w:t>
      </w:r>
      <w:r>
        <w:rPr>
          <w:rFonts w:ascii="Calibri" w:eastAsia="SimSun" w:hAnsi="Calibri" w:cs="MyriadPro-LightSemiCn"/>
          <w:lang w:val="ru-RU" w:eastAsia="zh-CN"/>
        </w:rPr>
        <w:t>инвестиција</w:t>
      </w:r>
      <w:r w:rsidR="00AA4DB4" w:rsidRPr="00635DB1">
        <w:rPr>
          <w:rFonts w:ascii="Calibri" w:eastAsia="SimSun" w:hAnsi="Calibri" w:cs="MyriadPro-LightSemiCn"/>
          <w:lang w:val="ru-RU" w:eastAsia="zh-CN"/>
        </w:rPr>
        <w:t xml:space="preserve">: </w:t>
      </w:r>
      <w:r w:rsidR="00AA4DB4" w:rsidRPr="00635DB1">
        <w:rPr>
          <w:rFonts w:ascii="Calibri" w:eastAsia="SimSun" w:hAnsi="Calibri" w:cs="MyriadPro-LightSemiCn"/>
          <w:i/>
          <w:lang w:val="ru-RU" w:eastAsia="zh-CN"/>
        </w:rPr>
        <w:t>„</w:t>
      </w:r>
      <w:r>
        <w:rPr>
          <w:rFonts w:ascii="Calibri" w:eastAsia="SimSun" w:hAnsi="Calibri" w:cs="MyriadPro-LightSemiCn"/>
          <w:i/>
          <w:lang w:val="ru-RU" w:eastAsia="zh-CN"/>
        </w:rPr>
        <w:t>бруто</w:t>
      </w:r>
      <w:r w:rsidR="00AA4DB4" w:rsidRPr="00635DB1">
        <w:rPr>
          <w:rFonts w:ascii="Calibri" w:eastAsia="SimSun" w:hAnsi="Calibri" w:cs="MyriadPro-LightSemiCn"/>
          <w:i/>
          <w:lang w:val="ru-RU" w:eastAsia="zh-CN"/>
        </w:rPr>
        <w:t xml:space="preserve"> </w:t>
      </w:r>
      <w:r>
        <w:rPr>
          <w:rFonts w:ascii="Calibri" w:eastAsia="SimSun" w:hAnsi="Calibri" w:cs="MyriadPro-LightSemiCn"/>
          <w:i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i/>
          <w:lang w:val="ru-RU" w:eastAsia="zh-CN"/>
        </w:rPr>
        <w:t xml:space="preserve"> </w:t>
      </w:r>
      <w:r>
        <w:rPr>
          <w:rFonts w:ascii="Calibri" w:eastAsia="SimSun" w:hAnsi="Calibri" w:cs="MyriadPro-LightSemiCn"/>
          <w:i/>
          <w:lang w:val="ru-RU" w:eastAsia="zh-CN"/>
        </w:rPr>
        <w:t>у</w:t>
      </w:r>
      <w:r w:rsidR="00AA4DB4" w:rsidRPr="00635DB1">
        <w:rPr>
          <w:rFonts w:ascii="Calibri" w:eastAsia="SimSun" w:hAnsi="Calibri" w:cs="MyriadPro-LightSemiCn"/>
          <w:i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i/>
          <w:lang w:val="ru-RU" w:eastAsia="zh-CN"/>
        </w:rPr>
        <w:t>основна</w:t>
      </w:r>
      <w:r w:rsidR="00AA4DB4" w:rsidRPr="00635DB1">
        <w:rPr>
          <w:rFonts w:ascii="Calibri" w:eastAsia="SimSun" w:hAnsi="Calibri" w:cs="MyriadPro-LightSemiCn"/>
          <w:i/>
          <w:lang w:val="ru-RU" w:eastAsia="zh-CN"/>
        </w:rPr>
        <w:t xml:space="preserve"> </w:t>
      </w:r>
      <w:r w:rsidR="00E42A53">
        <w:rPr>
          <w:rFonts w:ascii="Calibri" w:eastAsia="SimSun" w:hAnsi="Calibri" w:cs="MyriadPro-LightSemiCn"/>
          <w:i/>
          <w:lang w:val="ru-RU" w:eastAsia="zh-CN"/>
        </w:rPr>
        <w:t>средства</w:t>
      </w:r>
      <w:r w:rsidR="00AA4DB4" w:rsidRPr="00635DB1">
        <w:rPr>
          <w:rFonts w:ascii="Calibri" w:eastAsia="SimSun" w:hAnsi="Calibri" w:cs="MyriadPro-LightSemiCn"/>
          <w:i/>
          <w:lang w:val="ru-RU" w:eastAsia="zh-CN"/>
        </w:rPr>
        <w:t>“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и</w:t>
      </w:r>
      <w:r w:rsidR="00AA4DB4" w:rsidRPr="00635DB1">
        <w:rPr>
          <w:rFonts w:ascii="Calibri" w:hAnsi="Calibri"/>
          <w:lang w:val="sr-Cyrl-RS"/>
        </w:rPr>
        <w:t xml:space="preserve"> </w:t>
      </w:r>
      <w:r w:rsidR="00AA4DB4" w:rsidRPr="00635DB1">
        <w:rPr>
          <w:rFonts w:ascii="Calibri" w:hAnsi="Calibri"/>
          <w:i/>
          <w:lang w:val="sr-Cyrl-RS"/>
        </w:rPr>
        <w:t>„</w:t>
      </w:r>
      <w:r>
        <w:rPr>
          <w:rFonts w:ascii="Calibri" w:hAnsi="Calibri"/>
          <w:i/>
          <w:lang w:val="sr-Cyrl-RS"/>
        </w:rPr>
        <w:t>укупне</w:t>
      </w:r>
      <w:r w:rsidR="00AA4DB4" w:rsidRPr="00635DB1">
        <w:rPr>
          <w:rFonts w:ascii="Calibri" w:hAnsi="Calibri"/>
          <w:i/>
          <w:lang w:val="sr-Cyrl-RS"/>
        </w:rPr>
        <w:t xml:space="preserve"> </w:t>
      </w:r>
      <w:r>
        <w:rPr>
          <w:rFonts w:ascii="Calibri" w:hAnsi="Calibri"/>
          <w:i/>
          <w:lang w:val="sr-Cyrl-RS"/>
        </w:rPr>
        <w:t>инвестиције</w:t>
      </w:r>
      <w:r w:rsidR="00AA4DB4" w:rsidRPr="00635DB1">
        <w:rPr>
          <w:rFonts w:ascii="Calibri" w:hAnsi="Calibri"/>
          <w:i/>
          <w:lang w:val="sr-Cyrl-RS"/>
        </w:rPr>
        <w:t xml:space="preserve"> </w:t>
      </w:r>
      <w:r>
        <w:rPr>
          <w:rFonts w:ascii="Calibri" w:hAnsi="Calibri"/>
          <w:i/>
          <w:lang w:val="sr-Cyrl-RS"/>
        </w:rPr>
        <w:t>у</w:t>
      </w:r>
      <w:r w:rsidR="00AA4DB4" w:rsidRPr="00635DB1">
        <w:rPr>
          <w:rFonts w:ascii="Calibri" w:hAnsi="Calibri"/>
          <w:i/>
          <w:lang w:val="sr-Cyrl-RS"/>
        </w:rPr>
        <w:t xml:space="preserve"> </w:t>
      </w:r>
      <w:r w:rsidR="00E42A53">
        <w:rPr>
          <w:rFonts w:ascii="Calibri" w:hAnsi="Calibri"/>
          <w:i/>
          <w:lang w:val="sr-Cyrl-RS"/>
        </w:rPr>
        <w:t>основна</w:t>
      </w:r>
      <w:r w:rsidR="00AA4DB4" w:rsidRPr="00635DB1">
        <w:rPr>
          <w:rFonts w:ascii="Calibri" w:hAnsi="Calibri"/>
          <w:i/>
          <w:lang w:val="sr-Cyrl-RS"/>
        </w:rPr>
        <w:t xml:space="preserve"> </w:t>
      </w:r>
      <w:r w:rsidR="00E42A53">
        <w:rPr>
          <w:rFonts w:ascii="Calibri" w:hAnsi="Calibri"/>
          <w:i/>
          <w:lang w:val="sr-Cyrl-RS"/>
        </w:rPr>
        <w:t>средства</w:t>
      </w:r>
      <w:r w:rsidR="00AA4DB4" w:rsidRPr="00635DB1">
        <w:rPr>
          <w:rFonts w:ascii="Calibri" w:hAnsi="Calibri"/>
          <w:i/>
          <w:lang w:val="sr-Cyrl-RS"/>
        </w:rPr>
        <w:t>“</w:t>
      </w:r>
      <w:r w:rsidR="00AA4DB4" w:rsidRPr="00635DB1">
        <w:rPr>
          <w:rFonts w:ascii="Calibri" w:hAnsi="Calibri"/>
          <w:lang w:val="sr-Cyrl-RS"/>
        </w:rPr>
        <w:t>.</w:t>
      </w:r>
      <w:r w:rsidR="00AA4DB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RS"/>
        </w:rPr>
        <w:t>Први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концепт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користи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се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у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националним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рачунима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као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Style w:val="hps"/>
          <w:rFonts w:ascii="Calibri" w:hAnsi="Calibri"/>
          <w:lang w:val="sr-Cyrl-RS"/>
        </w:rPr>
        <w:t>макроекономски</w:t>
      </w:r>
      <w:r w:rsidR="00AA4DB4" w:rsidRPr="00635DB1">
        <w:rPr>
          <w:rStyle w:val="hps"/>
          <w:rFonts w:ascii="Calibri" w:hAnsi="Calibri"/>
          <w:lang w:val="sr-Cyrl-RS"/>
        </w:rPr>
        <w:t xml:space="preserve"> </w:t>
      </w:r>
      <w:r>
        <w:rPr>
          <w:rStyle w:val="hps"/>
          <w:rFonts w:ascii="Calibri" w:hAnsi="Calibri"/>
          <w:lang w:val="sr-Cyrl-RS"/>
        </w:rPr>
        <w:t>агрегат</w:t>
      </w:r>
      <w:r w:rsidR="00AA4DB4" w:rsidRPr="00635DB1">
        <w:rPr>
          <w:rStyle w:val="hps"/>
          <w:rFonts w:ascii="Calibri" w:hAnsi="Calibri"/>
          <w:lang w:val="sr-Cyrl-RS"/>
        </w:rPr>
        <w:t xml:space="preserve"> </w:t>
      </w:r>
      <w:r>
        <w:rPr>
          <w:rStyle w:val="hps"/>
          <w:rFonts w:ascii="Calibri" w:hAnsi="Calibri"/>
          <w:lang w:val="sr-Cyrl-RS"/>
        </w:rPr>
        <w:t>од</w:t>
      </w:r>
      <w:r w:rsidR="00AA4DB4" w:rsidRPr="00635DB1">
        <w:rPr>
          <w:rStyle w:val="hps"/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суштинског</w:t>
      </w:r>
      <w:r w:rsidR="00AA4DB4" w:rsidRPr="00635DB1">
        <w:rPr>
          <w:rStyle w:val="hps"/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значаја</w:t>
      </w:r>
      <w:r w:rsidR="00AA4DB4" w:rsidRPr="00635DB1">
        <w:rPr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за</w:t>
      </w:r>
      <w:r w:rsidR="00AA4DB4" w:rsidRPr="00635DB1">
        <w:rPr>
          <w:rStyle w:val="hps"/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потребе</w:t>
      </w:r>
      <w:r w:rsidR="00AA4DB4" w:rsidRPr="00635DB1">
        <w:rPr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економске</w:t>
      </w:r>
      <w:r w:rsidR="00AA4DB4" w:rsidRPr="00635DB1">
        <w:rPr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анализе</w:t>
      </w:r>
      <w:r w:rsidR="00AA4DB4" w:rsidRPr="00635DB1">
        <w:rPr>
          <w:rStyle w:val="hps"/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Cyrl-RS"/>
        </w:rPr>
        <w:t>употребе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бруто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домаћег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производа</w:t>
      </w:r>
      <w:r w:rsidR="00C10E93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CS"/>
        </w:rPr>
        <w:t>и</w:t>
      </w:r>
      <w:r w:rsidR="00C10E93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CS"/>
        </w:rPr>
        <w:t>о</w:t>
      </w:r>
      <w:r>
        <w:rPr>
          <w:rFonts w:ascii="Calibri" w:hAnsi="Calibri"/>
          <w:lang w:val="sr-Cyrl-RS"/>
        </w:rPr>
        <w:t>дноси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се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великим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делом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на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инвестиције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у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нова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основна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средства</w:t>
      </w:r>
      <w:r w:rsidR="00F70FF6">
        <w:rPr>
          <w:rFonts w:ascii="Calibri" w:hAnsi="Calibri"/>
          <w:lang w:val="sr-Cyrl-RS"/>
        </w:rPr>
        <w:t xml:space="preserve"> </w:t>
      </w:r>
      <w:r w:rsidR="00F837F7" w:rsidRPr="00635DB1">
        <w:rPr>
          <w:rFonts w:ascii="Calibri" w:hAnsi="Calibri"/>
          <w:lang w:val="sr-Cyrl-CS"/>
        </w:rPr>
        <w:t>(</w:t>
      </w:r>
      <w:r>
        <w:rPr>
          <w:rFonts w:ascii="Calibri" w:hAnsi="Calibri"/>
          <w:lang w:val="sr-Latn-CS"/>
        </w:rPr>
        <w:t>укупне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инвестиције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умањене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дезинвестирање</w:t>
      </w:r>
      <w:r w:rsidR="00F837F7" w:rsidRPr="00635DB1">
        <w:rPr>
          <w:rFonts w:ascii="Calibri" w:hAnsi="Calibri"/>
          <w:lang w:val="sr-Cyrl-CS"/>
        </w:rPr>
        <w:t>)</w:t>
      </w:r>
      <w:r w:rsidR="00AA4DB4" w:rsidRPr="00635DB1">
        <w:rPr>
          <w:rFonts w:ascii="Calibri" w:hAnsi="Calibri"/>
          <w:lang w:val="sr-Cyrl-RS"/>
        </w:rPr>
        <w:t xml:space="preserve">, </w:t>
      </w:r>
      <w:r>
        <w:rPr>
          <w:rFonts w:ascii="Calibri" w:hAnsi="Calibri"/>
          <w:lang w:val="sr-Cyrl-RS"/>
        </w:rPr>
        <w:t>док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се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други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концепт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везује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за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инвестиције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у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нова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и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половна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основна</w:t>
      </w:r>
      <w:r w:rsidR="00AA4DB4" w:rsidRPr="00635DB1">
        <w:rPr>
          <w:rFonts w:ascii="Calibri" w:hAnsi="Calibri"/>
          <w:lang w:val="sr-Cyrl-RS"/>
        </w:rPr>
        <w:t xml:space="preserve"> </w:t>
      </w:r>
      <w:r w:rsidR="00E42A53">
        <w:rPr>
          <w:rFonts w:ascii="Calibri" w:hAnsi="Calibri"/>
          <w:lang w:val="sr-Cyrl-RS"/>
        </w:rPr>
        <w:t>средства</w:t>
      </w:r>
      <w:r w:rsidR="00AA4DB4" w:rsidRPr="00635DB1">
        <w:rPr>
          <w:rFonts w:ascii="Calibri" w:hAnsi="Calibri"/>
          <w:lang w:val="sr-Cyrl-RS"/>
        </w:rPr>
        <w:t>.</w:t>
      </w:r>
      <w:r w:rsidR="00F837F7" w:rsidRPr="00635DB1">
        <w:rPr>
          <w:rFonts w:ascii="Calibri" w:hAnsi="Calibri"/>
          <w:lang w:val="sr-Cyrl-CS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Стога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, </w:t>
      </w:r>
      <w:r>
        <w:rPr>
          <w:rFonts w:ascii="Calibri" w:eastAsia="SimSun" w:hAnsi="Calibri" w:cs="MyriadPro-LightSemiCn"/>
          <w:bCs/>
          <w:lang w:val="ru-RU" w:eastAsia="zh-CN"/>
        </w:rPr>
        <w:t>укупне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инвестиције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представљају</w:t>
      </w:r>
      <w:r w:rsidR="00AA4DB4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већи</w:t>
      </w:r>
      <w:r w:rsidR="005541B8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износ</w:t>
      </w:r>
      <w:r w:rsidR="005541B8" w:rsidRPr="00635DB1">
        <w:rPr>
          <w:rFonts w:ascii="Calibri" w:eastAsia="SimSun" w:hAnsi="Calibri" w:cs="MyriadPro-LightSemiCn"/>
          <w:bCs/>
          <w:lang w:val="ru-RU" w:eastAsia="zh-CN"/>
        </w:rPr>
        <w:t xml:space="preserve"> </w:t>
      </w:r>
      <w:r>
        <w:rPr>
          <w:rFonts w:ascii="Calibri" w:eastAsia="SimSun" w:hAnsi="Calibri" w:cs="MyriadPro-LightSemiCn"/>
          <w:bCs/>
          <w:lang w:val="ru-RU" w:eastAsia="zh-CN"/>
        </w:rPr>
        <w:t>од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б</w:t>
      </w:r>
      <w:r>
        <w:rPr>
          <w:rFonts w:ascii="Calibri" w:hAnsi="Calibri"/>
          <w:lang w:val="sr-Latn-CS"/>
        </w:rPr>
        <w:t>руто</w:t>
      </w:r>
      <w:r w:rsidR="00AA4DB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RS"/>
        </w:rPr>
        <w:t>инвестициј</w:t>
      </w:r>
      <w:r w:rsidRPr="00C64365">
        <w:rPr>
          <w:rFonts w:ascii="Calibri" w:hAnsi="Calibri"/>
          <w:lang w:val="ru-RU"/>
        </w:rPr>
        <w:t>а</w:t>
      </w:r>
      <w:r w:rsidR="00AA4DB4" w:rsidRPr="00635DB1">
        <w:rPr>
          <w:rFonts w:ascii="Calibri" w:hAnsi="Calibri"/>
          <w:lang w:val="sr-Cyrl-RS"/>
        </w:rPr>
        <w:t xml:space="preserve">, </w:t>
      </w:r>
      <w:r>
        <w:rPr>
          <w:rFonts w:ascii="Calibri" w:hAnsi="Calibri"/>
          <w:lang w:val="sr-Cyrl-RS"/>
        </w:rPr>
        <w:t>и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то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за</w:t>
      </w:r>
      <w:r w:rsidR="00F837F7" w:rsidRPr="00635DB1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вредност</w:t>
      </w:r>
      <w:r w:rsidR="00AA4DB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половних</w:t>
      </w:r>
      <w:r w:rsidR="00AF0044" w:rsidRPr="00635DB1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ru-RU"/>
        </w:rPr>
        <w:t>основних</w:t>
      </w:r>
      <w:r w:rsidR="00AA4DB4" w:rsidRPr="00635DB1">
        <w:rPr>
          <w:rFonts w:ascii="Calibri" w:hAnsi="Calibri"/>
          <w:lang w:val="ru-RU"/>
        </w:rPr>
        <w:t xml:space="preserve"> </w:t>
      </w:r>
      <w:r w:rsidR="00E42A53">
        <w:rPr>
          <w:rFonts w:ascii="Calibri" w:hAnsi="Calibri"/>
          <w:lang w:val="ru-RU"/>
        </w:rPr>
        <w:t>средстава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умањену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трошкове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преноса</w:t>
      </w:r>
      <w:r w:rsidR="00F70FF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власништва</w:t>
      </w:r>
      <w:r w:rsidR="00AA4DB4" w:rsidRPr="00635DB1">
        <w:rPr>
          <w:rFonts w:ascii="Calibri" w:hAnsi="Calibri"/>
          <w:lang w:val="sr-Cyrl-RS"/>
        </w:rPr>
        <w:t xml:space="preserve">. </w:t>
      </w:r>
      <w:bookmarkEnd w:id="0"/>
    </w:p>
    <w:p w:rsidR="00FB5F5E" w:rsidRPr="00FB5F5E" w:rsidRDefault="00C64365" w:rsidP="00265256">
      <w:pPr>
        <w:spacing w:after="240" w:line="252" w:lineRule="auto"/>
        <w:ind w:firstLine="720"/>
        <w:jc w:val="both"/>
        <w:rPr>
          <w:rFonts w:ascii="Calibri" w:hAnsi="Calibri"/>
          <w:i/>
          <w:lang w:val="sr-Cyrl-RS"/>
        </w:rPr>
      </w:pPr>
      <w:r>
        <w:rPr>
          <w:rFonts w:ascii="Calibri" w:hAnsi="Calibri"/>
          <w:i/>
          <w:lang w:val="sr-Cyrl-RS"/>
        </w:rPr>
        <w:lastRenderedPageBreak/>
        <w:t>Инвестиције</w:t>
      </w:r>
      <w:r w:rsidR="00FB5F5E">
        <w:rPr>
          <w:rFonts w:ascii="Calibri" w:hAnsi="Calibri"/>
          <w:i/>
          <w:lang w:val="sr-Cyrl-RS"/>
        </w:rPr>
        <w:t xml:space="preserve"> </w:t>
      </w:r>
      <w:r>
        <w:rPr>
          <w:rFonts w:ascii="Calibri" w:hAnsi="Calibri"/>
          <w:i/>
          <w:lang w:val="sr-Cyrl-RS"/>
        </w:rPr>
        <w:t>у</w:t>
      </w:r>
      <w:r w:rsidR="00FB5F5E">
        <w:rPr>
          <w:rFonts w:ascii="Calibri" w:hAnsi="Calibri"/>
          <w:i/>
          <w:lang w:val="sr-Cyrl-RS"/>
        </w:rPr>
        <w:t xml:space="preserve"> </w:t>
      </w:r>
      <w:r w:rsidR="00E42A53">
        <w:rPr>
          <w:rFonts w:ascii="Calibri" w:hAnsi="Calibri"/>
          <w:i/>
          <w:lang w:val="sr-Cyrl-RS"/>
        </w:rPr>
        <w:t>основна</w:t>
      </w:r>
      <w:r w:rsidR="00FB5F5E">
        <w:rPr>
          <w:rFonts w:ascii="Calibri" w:hAnsi="Calibri"/>
          <w:i/>
          <w:lang w:val="sr-Cyrl-RS"/>
        </w:rPr>
        <w:t xml:space="preserve"> </w:t>
      </w:r>
      <w:r w:rsidR="00E42A53">
        <w:rPr>
          <w:rFonts w:ascii="Calibri" w:hAnsi="Calibri"/>
          <w:i/>
          <w:lang w:val="sr-Cyrl-RS"/>
        </w:rPr>
        <w:t xml:space="preserve">средства </w:t>
      </w:r>
      <w:r w:rsidR="00FB5F5E" w:rsidRPr="00FB5F5E">
        <w:rPr>
          <w:rFonts w:ascii="Calibri" w:hAnsi="Calibri"/>
          <w:i/>
          <w:lang w:val="sr-Cyrl-RS"/>
        </w:rPr>
        <w:t xml:space="preserve"> </w:t>
      </w:r>
      <w:r>
        <w:rPr>
          <w:rFonts w:ascii="Calibri" w:hAnsi="Calibri"/>
          <w:i/>
          <w:lang w:val="sr-Cyrl-RS"/>
        </w:rPr>
        <w:t>у</w:t>
      </w:r>
      <w:r w:rsidR="00FB5F5E" w:rsidRPr="00FB5F5E">
        <w:rPr>
          <w:rFonts w:ascii="Calibri" w:hAnsi="Calibri"/>
          <w:i/>
          <w:lang w:val="sr-Cyrl-RS"/>
        </w:rPr>
        <w:t xml:space="preserve"> </w:t>
      </w:r>
      <w:r>
        <w:rPr>
          <w:rFonts w:ascii="Calibri" w:hAnsi="Calibri"/>
          <w:i/>
          <w:lang w:val="sr-Cyrl-RS"/>
        </w:rPr>
        <w:t>текућим</w:t>
      </w:r>
      <w:r w:rsidR="00FB5F5E" w:rsidRPr="00FB5F5E">
        <w:rPr>
          <w:rFonts w:ascii="Calibri" w:hAnsi="Calibri"/>
          <w:i/>
          <w:lang w:val="sr-Cyrl-RS"/>
        </w:rPr>
        <w:t xml:space="preserve"> </w:t>
      </w:r>
      <w:r>
        <w:rPr>
          <w:rFonts w:ascii="Calibri" w:hAnsi="Calibri"/>
          <w:i/>
          <w:lang w:val="sr-Cyrl-RS"/>
        </w:rPr>
        <w:t>ценама</w:t>
      </w:r>
    </w:p>
    <w:p w:rsidR="00265256" w:rsidRPr="00635DB1" w:rsidRDefault="00C64365" w:rsidP="00265256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Подаци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</w:t>
      </w:r>
      <w:r w:rsidR="00FF30B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укупним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инвестицијама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теку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ћ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им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ценама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базирају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D14F48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резултатима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Годи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ш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њ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ег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ж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ивања</w:t>
      </w:r>
      <w:r w:rsidR="00C9703A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инвестицијама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које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</w:t>
      </w:r>
      <w:r w:rsidR="004643CF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усагла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ш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ено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са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ме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ђ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ународним</w:t>
      </w:r>
      <w:r w:rsidR="0031228E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статисти</w:t>
      </w:r>
      <w:r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ч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ким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стандардима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E63EA6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методологијама</w:t>
      </w:r>
      <w:r w:rsidR="002C584A" w:rsidRPr="002C584A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2C584A" w:rsidRPr="00FF30B1">
        <w:rPr>
          <w:rFonts w:ascii="Calibri" w:eastAsia="SimSun" w:hAnsi="Calibri" w:cs="MyriadPro-LightSemiCn"/>
          <w:b w:val="0"/>
          <w:bCs w:val="0"/>
          <w:i/>
          <w:u w:val="none"/>
          <w:lang w:val="sr-Cyrl-RS" w:eastAsia="zh-CN"/>
        </w:rPr>
        <w:t>(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Е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S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А</w:t>
      </w:r>
      <w:r w:rsidR="002C584A" w:rsidRPr="00FF30B1">
        <w:rPr>
          <w:rFonts w:ascii="Calibri" w:eastAsia="SimSun" w:hAnsi="Calibri" w:cs="MyriadPro-LightSemiCn"/>
          <w:b w:val="0"/>
          <w:bCs w:val="0"/>
          <w:i/>
          <w:u w:val="none"/>
          <w:lang w:val="sr-Cyrl-RS" w:eastAsia="zh-CN"/>
        </w:rPr>
        <w:t xml:space="preserve">2010,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SN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ru-RU" w:eastAsia="zh-CN"/>
        </w:rPr>
        <w:t>А</w:t>
      </w:r>
      <w:r w:rsidR="002C584A" w:rsidRPr="00FF30B1">
        <w:rPr>
          <w:rFonts w:ascii="Calibri" w:eastAsia="SimSun" w:hAnsi="Calibri" w:cs="MyriadPro-LightSemiCn"/>
          <w:b w:val="0"/>
          <w:bCs w:val="0"/>
          <w:i/>
          <w:u w:val="none"/>
          <w:lang w:val="sr-Cyrl-RS" w:eastAsia="zh-CN"/>
        </w:rPr>
        <w:t>2008)</w:t>
      </w:r>
      <w:r w:rsidR="004643CF" w:rsidRPr="00FF30B1">
        <w:rPr>
          <w:rFonts w:ascii="Calibri" w:eastAsia="SimSun" w:hAnsi="Calibri" w:cs="MyriadPro-LightSemiCn"/>
          <w:b w:val="0"/>
          <w:bCs w:val="0"/>
          <w:i/>
          <w:u w:val="none"/>
          <w:lang w:val="sr-Cyrl-RS" w:eastAsia="zh-CN"/>
        </w:rPr>
        <w:t>.</w:t>
      </w:r>
      <w:r w:rsidR="00DA1FAC" w:rsidRPr="00FF30B1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циљ</w:t>
      </w:r>
      <w:r w:rsidR="006A59BA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овог</w:t>
      </w:r>
      <w:r w:rsidR="006A59BA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истраживања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осим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информисања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инвестиционој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активности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,</w:t>
      </w:r>
      <w:r w:rsidR="006A59BA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јесте</w:t>
      </w:r>
      <w:r w:rsidR="006A59BA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да</w:t>
      </w:r>
      <w:r w:rsidR="006A59BA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омогући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обрачун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агрегата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употребе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бруто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домаћег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производа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израду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рачуна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капитала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</w:t>
      </w:r>
      <w:r w:rsidR="0009636D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</w:p>
    <w:p w:rsidR="00B65BA4" w:rsidRDefault="00C64365" w:rsidP="00B65BA4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Ј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единице</w:t>
      </w:r>
      <w:r w:rsidR="00265256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посматрања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пословни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субјекти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земљи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који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непосредни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инвеститори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без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обзира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облик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својине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Обухват</w:t>
      </w:r>
      <w:r w:rsidR="00C9703A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истраживања</w:t>
      </w:r>
      <w:r w:rsidR="00635DB1" w:rsidRPr="00635DB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потпун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велика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средња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правна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лица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Подаци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прикупљају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путем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узорка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правна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лица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која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,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складу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са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чланом</w:t>
      </w:r>
      <w:r w:rsidR="00C95A5B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7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Закона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рачуноводству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ревизији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,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разврстана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мала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као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предузетнике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који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имају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обавезу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подношења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годишњег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финансијског</w:t>
      </w:r>
      <w:r w:rsidR="00C15050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извештаја</w:t>
      </w:r>
      <w:r w:rsidR="0031228E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средства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физичких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лица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предузетника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који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немају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обавезу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подношења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годишњег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финансијског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извештаја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израчунавају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расположивих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података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постојећих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статистичких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истраживања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области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грађевинарства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пољопривреде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спољне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унутрашње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трговине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итд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то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нивоу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сектора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Класификације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делатности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техничкој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структури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основних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средста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ва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територију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Републике</w:t>
      </w:r>
      <w:r w:rsidR="00B65BA4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Србије</w:t>
      </w:r>
      <w:r w:rsidR="00B65BA4" w:rsidRPr="0016758B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</w:t>
      </w:r>
    </w:p>
    <w:p w:rsidR="00A07D41" w:rsidRPr="002C69C3" w:rsidRDefault="00C64365" w:rsidP="00244F34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Годишњим</w:t>
      </w:r>
      <w:r w:rsidR="00EE39A8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извештајем</w:t>
      </w:r>
      <w:r w:rsidR="00EE39A8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</w:t>
      </w:r>
      <w:r w:rsidR="00EE39A8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инвестицијама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добијају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подаци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исплатама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инвестиције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C95A5B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изворима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финансирања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(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сопствена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средства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удружена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средства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кредити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остал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средства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)</w:t>
      </w:r>
      <w:r w:rsidR="0069313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подаци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оствареним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инвестицијама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C95A5B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техничкој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структури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карактеру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изградње</w:t>
      </w:r>
      <w:r w:rsidR="0069313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69313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намени</w:t>
      </w:r>
      <w:r w:rsidR="0031228E" w:rsidRPr="00B65BA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територију</w:t>
      </w:r>
      <w:r w:rsidR="00D14F48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Републике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Србије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као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BB03F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ниво</w:t>
      </w:r>
      <w:r w:rsidR="00D14F48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региона</w:t>
      </w:r>
      <w:r w:rsidR="00BB03F1" w:rsidRPr="006363E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C774C" w:rsidRPr="006363E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(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НСТЈ</w:t>
      </w:r>
      <w:r w:rsidR="006363EC" w:rsidRPr="006363E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C774C" w:rsidRPr="006363EC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2)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,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обрада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података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извршена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је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нивоу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сектора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области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Класификације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делатности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општине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нивоу</w:t>
      </w:r>
      <w:r w:rsidR="00076421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сектора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.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Груписање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података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извршено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је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организационом</w:t>
      </w:r>
      <w:r w:rsidR="0031228E" w:rsidRPr="002C69C3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принципу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17033D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EE39A8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према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претежној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делатности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седишту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инвеститора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принципу</w:t>
      </w:r>
      <w:r w:rsidR="0031228E" w:rsidRPr="002C69C3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чистих</w:t>
      </w:r>
      <w:r w:rsidR="0031228E" w:rsidRPr="002C69C3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делатности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17033D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–</w:t>
      </w:r>
      <w:r w:rsidR="00FF30B1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према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намени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локацији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</w:t>
      </w:r>
      <w:r w:rsidR="0031228E" w:rsidRPr="002C69C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.</w:t>
      </w:r>
    </w:p>
    <w:p w:rsidR="00FB5F5E" w:rsidRDefault="00C64365" w:rsidP="00FF0ED9">
      <w:pPr>
        <w:pStyle w:val="BodyTextIndent"/>
        <w:spacing w:after="24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887BC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циљу</w:t>
      </w:r>
      <w:r w:rsidR="00887BC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добијања</w:t>
      </w:r>
      <w:r w:rsidR="00887BC4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података</w:t>
      </w:r>
      <w:r w:rsidR="00887BC4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бруто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инвестицијама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основн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средства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потребе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националних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рачуна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оред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редовног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истраживања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области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потребно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је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урадити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додатне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обрачуне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.</w:t>
      </w:r>
      <w:r w:rsidR="00B02347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Основни</w:t>
      </w:r>
      <w:r w:rsidR="00265256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извори</w:t>
      </w:r>
      <w:r w:rsidR="00265256" w:rsidRPr="00224DD2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података</w:t>
      </w:r>
      <w:r w:rsidR="00EE39A8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EE39A8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ове</w:t>
      </w:r>
      <w:r w:rsidR="00EE39A8" w:rsidRPr="00224DD2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обрачуне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је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су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подаци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статистичког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система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из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области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грађевинарства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истраживања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развоја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спољне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трговине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трговине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мало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радне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снаге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запосленост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зарад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а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пољопривреде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националних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рачуна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.,</w:t>
      </w:r>
      <w:r w:rsidR="006D41E7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као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расположиви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административни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подаци</w:t>
      </w:r>
      <w:r w:rsidR="00265256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других</w:t>
      </w:r>
      <w:r w:rsidR="00265256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институција</w:t>
      </w:r>
      <w:r w:rsidR="00EE39A8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: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Народна</w:t>
      </w:r>
      <w:r w:rsidR="00265256" w:rsidRPr="00265256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банка</w:t>
      </w:r>
      <w:r w:rsidR="00265256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Агенција</w:t>
      </w:r>
      <w:r w:rsidR="00265256" w:rsidRPr="00265256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265256" w:rsidRPr="00265256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привредне</w:t>
      </w:r>
      <w:r w:rsidR="00265256" w:rsidRPr="00265256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регистре</w:t>
      </w:r>
      <w:r w:rsidR="00265256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,</w:t>
      </w:r>
      <w:r w:rsidR="00265256" w:rsidRPr="00265256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Министарство</w:t>
      </w:r>
      <w:r w:rsidR="00265256" w:rsidRPr="00265256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одбране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</w:t>
      </w:r>
      <w:r w:rsidR="00265256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др</w:t>
      </w:r>
      <w:r w:rsidR="00265256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.</w:t>
      </w:r>
      <w:r w:rsidR="00EE39A8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</w:p>
    <w:p w:rsidR="005F7EB3" w:rsidRDefault="005F7EB3" w:rsidP="00FF0ED9">
      <w:pPr>
        <w:pStyle w:val="BodyTextIndent"/>
        <w:spacing w:after="24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eastAsia="zh-CN"/>
        </w:rPr>
      </w:pPr>
    </w:p>
    <w:p w:rsidR="00436331" w:rsidRPr="005F7EB3" w:rsidRDefault="00436331" w:rsidP="00FF0ED9">
      <w:pPr>
        <w:pStyle w:val="BodyTextIndent"/>
        <w:spacing w:after="24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eastAsia="zh-CN"/>
        </w:rPr>
      </w:pPr>
      <w:bookmarkStart w:id="1" w:name="_GoBack"/>
      <w:bookmarkEnd w:id="1"/>
    </w:p>
    <w:p w:rsidR="00FB5F5E" w:rsidRPr="00FB5F5E" w:rsidRDefault="00C64365" w:rsidP="00693134">
      <w:pPr>
        <w:pStyle w:val="BodyTextIndent"/>
        <w:spacing w:after="240" w:line="252" w:lineRule="auto"/>
        <w:ind w:left="0" w:firstLine="720"/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</w:pP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lastRenderedPageBreak/>
        <w:t>Бруто</w:t>
      </w:r>
      <w:r w:rsidR="00FB5F5E" w:rsidRPr="00FB5F5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инвестиције</w:t>
      </w:r>
      <w:r w:rsidR="00FB5F5E" w:rsidRPr="00FB5F5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у</w:t>
      </w:r>
      <w:r w:rsidR="00FB5F5E" w:rsidRPr="00FB5F5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основн</w:t>
      </w:r>
      <w:r w:rsidR="00585359">
        <w:rPr>
          <w:rFonts w:ascii="Calibri" w:eastAsia="SimSun" w:hAnsi="Calibri" w:cs="MyriadPro-LightSemiCn"/>
          <w:b w:val="0"/>
          <w:bCs w:val="0"/>
          <w:i/>
          <w:u w:val="none"/>
          <w:lang w:val="sr-Cyrl-RS" w:eastAsia="zh-CN"/>
        </w:rPr>
        <w:t>а</w:t>
      </w:r>
      <w:r w:rsidR="00FB5F5E" w:rsidRPr="00FB5F5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i/>
          <w:u w:val="none"/>
          <w:lang w:val="sr-Cyrl-RS" w:eastAsia="zh-CN"/>
        </w:rPr>
        <w:t xml:space="preserve">средства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у</w:t>
      </w:r>
      <w:r w:rsidR="00FB5F5E" w:rsidRPr="00FB5F5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сталним</w:t>
      </w:r>
      <w:r w:rsidR="00FB5F5E" w:rsidRPr="00FB5F5E"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i/>
          <w:u w:val="none"/>
          <w:lang w:val="sr-Latn-CS" w:eastAsia="zh-CN"/>
        </w:rPr>
        <w:t>ценама</w:t>
      </w:r>
    </w:p>
    <w:p w:rsidR="009F7DE4" w:rsidRPr="00F16C9B" w:rsidRDefault="00C64365" w:rsidP="00EB2973">
      <w:pPr>
        <w:pStyle w:val="BodyTextIndent"/>
        <w:spacing w:after="120" w:line="252" w:lineRule="auto"/>
        <w:ind w:left="0" w:firstLine="720"/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</w:pP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Подаци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бруто</w:t>
      </w:r>
      <w:r w:rsidR="00185913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инвестицијама</w:t>
      </w:r>
      <w:r w:rsidR="00185913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185913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основн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а</w:t>
      </w:r>
      <w:r w:rsidR="00185913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средства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сталним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ценама</w:t>
      </w:r>
      <w:r w:rsidR="00F829CA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расположиви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су</w:t>
      </w:r>
      <w:r w:rsidR="00637CA3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техничкој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структури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инвестиција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,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на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нивоу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сектора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F16B55">
        <w:rPr>
          <w:rFonts w:ascii="Calibri" w:eastAsia="SimSun" w:hAnsi="Calibri" w:cs="MyriadPro-LightSemiCn"/>
          <w:b w:val="0"/>
          <w:bCs w:val="0"/>
          <w:u w:val="none"/>
          <w:lang w:eastAsia="zh-CN"/>
        </w:rPr>
        <w:t>Класификације делатности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.</w:t>
      </w:r>
      <w:r w:rsid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Инвестиције</w:t>
      </w:r>
      <w:r w:rsidR="008369F2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8369F2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ценама</w:t>
      </w:r>
      <w:r w:rsidR="008369F2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претходне</w:t>
      </w:r>
      <w:r w:rsidR="008369F2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године</w:t>
      </w:r>
      <w:r w:rsidR="005F39FC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оквиру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сектора</w:t>
      </w:r>
      <w:r w:rsidR="00F16B55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добијају</w:t>
      </w:r>
      <w:r w:rsidR="00ED3C6F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</w:t>
      </w:r>
      <w:r w:rsidR="009F7DE4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дефлационирањем</w:t>
      </w:r>
      <w:r w:rsidR="00A6117F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сваке</w:t>
      </w:r>
      <w:r w:rsidR="00A6117F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категорије</w:t>
      </w:r>
      <w:r w:rsidR="005F39FC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основних</w:t>
      </w:r>
      <w:r w:rsid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585359">
        <w:rPr>
          <w:rFonts w:ascii="Calibri" w:eastAsia="SimSun" w:hAnsi="Calibri" w:cs="MyriadPro-LightSemiCn"/>
          <w:b w:val="0"/>
          <w:bCs w:val="0"/>
          <w:u w:val="none"/>
          <w:lang w:val="sr-Cyrl-RS" w:eastAsia="zh-CN"/>
        </w:rPr>
        <w:t>средстава</w:t>
      </w:r>
      <w:r w:rsidR="005F39FC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посебно</w:t>
      </w:r>
      <w:r w:rsidR="00A6117F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(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за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одређену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групу</w:t>
      </w:r>
      <w:r w:rsidR="009F7DE4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капиталних</w:t>
      </w:r>
      <w:r w:rsidR="009F7DE4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производа</w:t>
      </w:r>
      <w:r w:rsidR="009F7DE4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користи</w:t>
      </w:r>
      <w:r w:rsidR="00421D96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се</w:t>
      </w:r>
      <w:r w:rsidR="00421D96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исти</w:t>
      </w:r>
      <w:r w:rsidR="00421D96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дефлатор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у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свим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>делатностима</w:t>
      </w:r>
      <w:r w:rsidR="00A07D41" w:rsidRPr="00EB2973">
        <w:rPr>
          <w:rFonts w:ascii="Calibri" w:eastAsia="SimSun" w:hAnsi="Calibri" w:cs="MyriadPro-LightSemiCn"/>
          <w:b w:val="0"/>
          <w:bCs w:val="0"/>
          <w:u w:val="none"/>
          <w:lang w:val="sr-Latn-CS" w:eastAsia="zh-CN"/>
        </w:rPr>
        <w:t xml:space="preserve">).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потребе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обрачуна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инвестиција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у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сталним</w:t>
      </w:r>
      <w:r w:rsidR="00494B2F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ценама</w:t>
      </w:r>
      <w:r w:rsidR="00494B2F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израчунавају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се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одговарајући</w:t>
      </w:r>
      <w:r w:rsidR="005F39FC" w:rsidRPr="00635DB1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дефлатори</w:t>
      </w:r>
      <w:r w:rsidR="005F39FC" w:rsidRPr="00F16C9B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за</w:t>
      </w:r>
      <w:r w:rsidR="005F39FC" w:rsidRPr="00F16C9B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сваки</w:t>
      </w:r>
      <w:r w:rsidR="005F39FC" w:rsidRPr="00F16C9B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 </w:t>
      </w:r>
      <w:r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>агрегат</w:t>
      </w:r>
      <w:r w:rsidR="005F39FC" w:rsidRPr="00F16C9B">
        <w:rPr>
          <w:rFonts w:ascii="Calibri" w:eastAsia="SimSun" w:hAnsi="Calibri" w:cs="MyriadPro-LightSemiCn"/>
          <w:b w:val="0"/>
          <w:bCs w:val="0"/>
          <w:u w:val="none"/>
          <w:lang w:val="ru-RU" w:eastAsia="zh-CN"/>
        </w:rPr>
        <w:t xml:space="preserve">. </w:t>
      </w:r>
    </w:p>
    <w:p w:rsidR="003377F8" w:rsidRPr="00635DB1" w:rsidRDefault="00C64365" w:rsidP="00244F34">
      <w:pPr>
        <w:spacing w:after="120" w:line="280" w:lineRule="exact"/>
        <w:ind w:firstLine="72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Основни</w:t>
      </w:r>
      <w:r w:rsidR="009F7DE4" w:rsidRPr="00F16C9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извори</w:t>
      </w:r>
      <w:r w:rsidR="009F7DE4" w:rsidRPr="00F16C9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података</w:t>
      </w:r>
      <w:r w:rsidR="009F7DE4" w:rsidRPr="00F16C9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коришћени</w:t>
      </w:r>
      <w:r w:rsidR="009F7DE4" w:rsidRPr="00F16C9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="009F7DE4" w:rsidRPr="00F16C9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обрачун</w:t>
      </w:r>
      <w:r w:rsidR="006F06ED" w:rsidRPr="00F16C9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CS"/>
        </w:rPr>
        <w:t>бруто</w:t>
      </w:r>
      <w:r w:rsidR="00D30E5D" w:rsidRPr="00F16C9B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инвестиција</w:t>
      </w:r>
      <w:r w:rsidR="00D30E5D" w:rsidRPr="00F16C9B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у</w:t>
      </w:r>
      <w:r w:rsidR="00D30E5D" w:rsidRPr="00F16C9B">
        <w:rPr>
          <w:rFonts w:ascii="Calibri" w:hAnsi="Calibri"/>
          <w:lang w:val="sr-Cyrl-CS"/>
        </w:rPr>
        <w:t xml:space="preserve"> </w:t>
      </w:r>
      <w:r w:rsidR="00585359">
        <w:rPr>
          <w:rFonts w:ascii="Calibri" w:hAnsi="Calibri"/>
          <w:lang w:val="sr-Cyrl-CS"/>
        </w:rPr>
        <w:t>основна</w:t>
      </w:r>
      <w:r w:rsidR="00D30E5D" w:rsidRPr="00F16C9B">
        <w:rPr>
          <w:rFonts w:ascii="Calibri" w:hAnsi="Calibri"/>
          <w:lang w:val="sr-Cyrl-CS"/>
        </w:rPr>
        <w:t xml:space="preserve"> </w:t>
      </w:r>
      <w:r w:rsidR="00585359">
        <w:rPr>
          <w:rFonts w:ascii="Calibri" w:hAnsi="Calibri"/>
          <w:lang w:val="sr-Cyrl-CS"/>
        </w:rPr>
        <w:t>средства</w:t>
      </w:r>
      <w:r w:rsidR="006F06ED" w:rsidRPr="00F16C9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F06ED" w:rsidRPr="00F16C9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6F06ED" w:rsidRPr="00F16C9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6F06ED" w:rsidRPr="00F16C9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ru-RU"/>
        </w:rPr>
        <w:t>су</w:t>
      </w:r>
      <w:r w:rsidR="009F7DE4" w:rsidRPr="00F16C9B">
        <w:rPr>
          <w:rFonts w:ascii="Calibri" w:hAnsi="Calibri"/>
          <w:lang w:val="ru-RU"/>
        </w:rPr>
        <w:t>:</w:t>
      </w:r>
    </w:p>
    <w:p w:rsidR="00C879D8" w:rsidRPr="00635DB1" w:rsidRDefault="00C64365" w:rsidP="00F16C9B">
      <w:pPr>
        <w:numPr>
          <w:ilvl w:val="0"/>
          <w:numId w:val="38"/>
        </w:numPr>
        <w:tabs>
          <w:tab w:val="clear" w:pos="720"/>
          <w:tab w:val="num" w:pos="810"/>
          <w:tab w:val="left" w:pos="900"/>
        </w:tabs>
        <w:spacing w:after="120" w:line="280" w:lineRule="exact"/>
        <w:ind w:left="734" w:hanging="187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Из</w:t>
      </w:r>
      <w:r w:rsidR="00C879D8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статистичк</w:t>
      </w:r>
      <w:r>
        <w:rPr>
          <w:rFonts w:ascii="Calibri" w:hAnsi="Calibri"/>
          <w:lang w:val="sr-Latn-CS"/>
        </w:rPr>
        <w:t>ог</w:t>
      </w:r>
      <w:r w:rsidR="00B2694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система</w:t>
      </w:r>
      <w:r w:rsidR="00C879D8" w:rsidRPr="00635DB1">
        <w:rPr>
          <w:rFonts w:ascii="Calibri" w:hAnsi="Calibri"/>
          <w:lang w:val="ru-RU"/>
        </w:rPr>
        <w:t>:</w:t>
      </w:r>
    </w:p>
    <w:p w:rsidR="00A07D41" w:rsidRPr="00F16C9B" w:rsidRDefault="00C64365" w:rsidP="00AD443C">
      <w:pPr>
        <w:numPr>
          <w:ilvl w:val="1"/>
          <w:numId w:val="19"/>
        </w:numPr>
        <w:tabs>
          <w:tab w:val="clear" w:pos="624"/>
          <w:tab w:val="num" w:pos="1260"/>
        </w:tabs>
        <w:ind w:left="1260" w:hanging="27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подаци</w:t>
      </w:r>
      <w:r w:rsidR="00C879D8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добијени</w:t>
      </w:r>
      <w:r w:rsidR="00C879D8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="00C879D8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истраживања</w:t>
      </w:r>
      <w:r w:rsidR="00C879D8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Годишњи</w:t>
      </w:r>
      <w:r w:rsidR="00E6007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извештај</w:t>
      </w:r>
      <w:r w:rsidR="00E6007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E6007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инвестицијама</w:t>
      </w:r>
      <w:r w:rsidR="00E6007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="00E60076" w:rsidRPr="00635DB1">
        <w:rPr>
          <w:rFonts w:ascii="Calibri" w:hAnsi="Calibri"/>
          <w:lang w:val="ru-RU"/>
        </w:rPr>
        <w:t xml:space="preserve"> </w:t>
      </w:r>
      <w:r w:rsidR="00585359">
        <w:rPr>
          <w:rFonts w:ascii="Calibri" w:hAnsi="Calibri"/>
          <w:lang w:val="ru-RU"/>
        </w:rPr>
        <w:t>основна</w:t>
      </w:r>
      <w:r w:rsidR="00E60076" w:rsidRPr="00635DB1">
        <w:rPr>
          <w:rFonts w:ascii="Calibri" w:hAnsi="Calibri"/>
          <w:lang w:val="ru-RU"/>
        </w:rPr>
        <w:t xml:space="preserve"> </w:t>
      </w:r>
      <w:r w:rsidR="00585359">
        <w:rPr>
          <w:rFonts w:ascii="Calibri" w:hAnsi="Calibri"/>
          <w:lang w:val="ru-RU"/>
        </w:rPr>
        <w:t>средства</w:t>
      </w:r>
      <w:r w:rsidR="008A7D28" w:rsidRPr="005C774C">
        <w:rPr>
          <w:rFonts w:ascii="Calibri" w:hAnsi="Calibri"/>
          <w:lang w:val="ru-RU"/>
        </w:rPr>
        <w:t xml:space="preserve"> </w:t>
      </w:r>
      <w:r w:rsidR="008A7D28">
        <w:rPr>
          <w:rFonts w:ascii="Calibri" w:hAnsi="Calibri"/>
          <w:lang w:val="sr-Latn-CS"/>
        </w:rPr>
        <w:t>(</w:t>
      </w:r>
      <w:r>
        <w:rPr>
          <w:rFonts w:ascii="Calibri" w:hAnsi="Calibri"/>
          <w:lang w:val="sr-Latn-CS"/>
        </w:rPr>
        <w:t>ИНВ</w:t>
      </w:r>
      <w:r w:rsidR="008A7D28">
        <w:rPr>
          <w:rFonts w:ascii="Calibri" w:hAnsi="Calibri"/>
          <w:lang w:val="sr-Latn-CS"/>
        </w:rPr>
        <w:t>-01)</w:t>
      </w:r>
      <w:r w:rsidR="00A07D41" w:rsidRPr="00F16C9B">
        <w:rPr>
          <w:rFonts w:ascii="Calibri" w:hAnsi="Calibri"/>
          <w:lang w:val="ru-RU"/>
        </w:rPr>
        <w:t>,</w:t>
      </w:r>
    </w:p>
    <w:p w:rsidR="00A07D41" w:rsidRPr="00635DB1" w:rsidRDefault="00C64365" w:rsidP="00AD443C">
      <w:pPr>
        <w:numPr>
          <w:ilvl w:val="1"/>
          <w:numId w:val="19"/>
        </w:numPr>
        <w:tabs>
          <w:tab w:val="clear" w:pos="624"/>
          <w:tab w:val="num" w:pos="1260"/>
        </w:tabs>
        <w:ind w:left="1260" w:hanging="27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подаци</w:t>
      </w:r>
      <w:r w:rsidR="003D2F62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5735C5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кретању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цена</w:t>
      </w:r>
      <w:r w:rsidR="00A07D41" w:rsidRPr="00635DB1">
        <w:rPr>
          <w:rFonts w:ascii="Calibri" w:hAnsi="Calibri"/>
          <w:lang w:val="ru-RU"/>
        </w:rPr>
        <w:t xml:space="preserve"> </w:t>
      </w:r>
      <w:r w:rsidR="00AA707A" w:rsidRPr="00635DB1">
        <w:rPr>
          <w:rFonts w:ascii="Calibri" w:hAnsi="Calibri"/>
          <w:lang w:val="ru-RU"/>
        </w:rPr>
        <w:t>–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индекси</w:t>
      </w:r>
      <w:r w:rsidR="00AA707A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цена</w:t>
      </w:r>
      <w:r w:rsidR="00AA707A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произвођача</w:t>
      </w:r>
      <w:r w:rsidR="00D2703E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индустријских</w:t>
      </w:r>
      <w:r w:rsidR="00D2703E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производа</w:t>
      </w:r>
      <w:r w:rsidR="00AA707A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="00AA707A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домаће</w:t>
      </w:r>
      <w:r w:rsidR="00AA707A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тржиште</w:t>
      </w:r>
      <w:r w:rsidR="00AA707A" w:rsidRPr="00635DB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индекси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цена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произвођача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производа</w:t>
      </w:r>
      <w:r w:rsidR="005509E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пољопривреде</w:t>
      </w:r>
      <w:r w:rsidR="00FA4E8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FA4E8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рибарства</w:t>
      </w:r>
      <w:r w:rsidR="008E5A00">
        <w:rPr>
          <w:rFonts w:ascii="Calibri" w:hAnsi="Calibri"/>
          <w:lang w:val="sr-Latn-CS"/>
        </w:rPr>
        <w:t>,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индекси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цена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произво</w:t>
      </w:r>
      <w:r>
        <w:rPr>
          <w:rFonts w:ascii="Calibri" w:hAnsi="Calibri"/>
          <w:sz w:val="22"/>
          <w:szCs w:val="22"/>
          <w:lang w:val="ru-RU"/>
        </w:rPr>
        <w:t>ђ</w:t>
      </w:r>
      <w:r>
        <w:rPr>
          <w:rFonts w:ascii="Calibri" w:hAnsi="Calibri"/>
          <w:sz w:val="22"/>
          <w:szCs w:val="22"/>
          <w:lang w:val="sr-Latn-CS"/>
        </w:rPr>
        <w:t>а</w:t>
      </w:r>
      <w:r>
        <w:rPr>
          <w:rFonts w:ascii="Calibri" w:hAnsi="Calibri"/>
          <w:sz w:val="22"/>
          <w:szCs w:val="22"/>
          <w:lang w:val="ru-RU"/>
        </w:rPr>
        <w:t>ч</w:t>
      </w:r>
      <w:r>
        <w:rPr>
          <w:rFonts w:ascii="Calibri" w:hAnsi="Calibri"/>
          <w:sz w:val="22"/>
          <w:szCs w:val="22"/>
          <w:lang w:val="sr-Latn-CS"/>
        </w:rPr>
        <w:t>а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индустријских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производа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за</w:t>
      </w:r>
      <w:r w:rsidR="00C9703A" w:rsidRPr="00635DB1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извоз</w:t>
      </w:r>
      <w:r w:rsidR="00C9703A" w:rsidRPr="00635DB1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земаља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из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којих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се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увози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опрема</w:t>
      </w:r>
      <w:r w:rsidR="00CB136A" w:rsidRPr="00635DB1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и</w:t>
      </w:r>
      <w:r w:rsidR="00CB136A" w:rsidRPr="00635DB1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lang w:val="ru-RU"/>
        </w:rPr>
        <w:t>индекси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потрошачких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цена</w:t>
      </w:r>
      <w:r w:rsidR="00A07D41" w:rsidRPr="00635DB1">
        <w:rPr>
          <w:rFonts w:ascii="Calibri" w:hAnsi="Calibri"/>
          <w:lang w:val="ru-RU"/>
        </w:rPr>
        <w:t>,</w:t>
      </w:r>
      <w:r w:rsidR="007537CA" w:rsidRPr="00635DB1">
        <w:rPr>
          <w:rFonts w:ascii="Calibri" w:hAnsi="Calibri"/>
          <w:lang w:val="sr-Latn-CS"/>
        </w:rPr>
        <w:t xml:space="preserve"> </w:t>
      </w:r>
    </w:p>
    <w:p w:rsidR="00C879D8" w:rsidRPr="008E5A00" w:rsidRDefault="00C64365" w:rsidP="00B4319D">
      <w:pPr>
        <w:numPr>
          <w:ilvl w:val="1"/>
          <w:numId w:val="19"/>
        </w:numPr>
        <w:tabs>
          <w:tab w:val="clear" w:pos="624"/>
          <w:tab w:val="num" w:pos="1260"/>
        </w:tabs>
        <w:ind w:left="1268" w:hanging="274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подаци</w:t>
      </w:r>
      <w:r w:rsidR="00B447A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B447A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зарадама</w:t>
      </w:r>
      <w:r w:rsidR="00B447A6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запослених</w:t>
      </w:r>
      <w:r w:rsidR="00C9703A" w:rsidRPr="00635DB1">
        <w:rPr>
          <w:rFonts w:ascii="Calibri" w:hAnsi="Calibri"/>
          <w:lang w:val="sr-Latn-CS"/>
        </w:rPr>
        <w:t>,</w:t>
      </w:r>
    </w:p>
    <w:p w:rsidR="008E5A00" w:rsidRPr="00635DB1" w:rsidRDefault="00C64365" w:rsidP="00B4319D">
      <w:pPr>
        <w:numPr>
          <w:ilvl w:val="1"/>
          <w:numId w:val="19"/>
        </w:numPr>
        <w:tabs>
          <w:tab w:val="clear" w:pos="624"/>
          <w:tab w:val="num" w:pos="1260"/>
        </w:tabs>
        <w:ind w:left="1268" w:hanging="274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sr-Latn-CS"/>
        </w:rPr>
        <w:t>подаци</w:t>
      </w:r>
      <w:r w:rsidR="008E5A00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националних</w:t>
      </w:r>
      <w:r w:rsidR="008E5A00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рачуна</w:t>
      </w:r>
      <w:r w:rsidR="008E5A00">
        <w:rPr>
          <w:rFonts w:ascii="Calibri" w:hAnsi="Calibri"/>
          <w:lang w:val="sr-Latn-CS"/>
        </w:rPr>
        <w:t>,</w:t>
      </w:r>
    </w:p>
    <w:p w:rsidR="00D4110E" w:rsidRPr="00635DB1" w:rsidRDefault="00C64365" w:rsidP="00B4319D">
      <w:pPr>
        <w:numPr>
          <w:ilvl w:val="1"/>
          <w:numId w:val="19"/>
        </w:numPr>
        <w:tabs>
          <w:tab w:val="clear" w:pos="624"/>
          <w:tab w:val="num" w:pos="1260"/>
        </w:tabs>
        <w:ind w:left="994" w:firstLine="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sr-Latn-CS"/>
        </w:rPr>
        <w:t>подаци</w:t>
      </w:r>
      <w:r w:rsidR="00D4110E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добијени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Структуре</w:t>
      </w:r>
      <w:r w:rsidR="00D4110E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прихода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расхода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пословних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субјеката</w:t>
      </w:r>
      <w:r w:rsidR="008A7D28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СРП</w:t>
      </w:r>
      <w:r w:rsidR="008A7D28">
        <w:rPr>
          <w:rFonts w:ascii="Calibri" w:hAnsi="Calibri"/>
          <w:lang w:val="sr-Latn-CS"/>
        </w:rPr>
        <w:t>)</w:t>
      </w:r>
      <w:r w:rsidR="00D4110E" w:rsidRPr="00635DB1">
        <w:rPr>
          <w:rFonts w:ascii="Calibri" w:hAnsi="Calibri"/>
          <w:lang w:val="sr-Latn-CS"/>
        </w:rPr>
        <w:t>,</w:t>
      </w:r>
    </w:p>
    <w:p w:rsidR="00D4110E" w:rsidRPr="00635DB1" w:rsidRDefault="00C64365" w:rsidP="00AD443C">
      <w:pPr>
        <w:numPr>
          <w:ilvl w:val="1"/>
          <w:numId w:val="19"/>
        </w:numPr>
        <w:tabs>
          <w:tab w:val="clear" w:pos="624"/>
          <w:tab w:val="num" w:pos="1260"/>
        </w:tabs>
        <w:spacing w:after="120"/>
        <w:ind w:left="990" w:firstLine="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sr-Latn-CS"/>
        </w:rPr>
        <w:t>подаци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добијени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Годишњи</w:t>
      </w:r>
      <w:r w:rsidR="00D4110E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извештај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истраживању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C9703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развоју</w:t>
      </w:r>
      <w:r w:rsidR="008A7D28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ИР</w:t>
      </w:r>
      <w:r w:rsidR="008A7D28">
        <w:rPr>
          <w:rFonts w:ascii="Calibri" w:hAnsi="Calibri"/>
          <w:lang w:val="sr-Latn-CS"/>
        </w:rPr>
        <w:t>),</w:t>
      </w:r>
    </w:p>
    <w:p w:rsidR="00C879D8" w:rsidRPr="00635DB1" w:rsidRDefault="00C64365" w:rsidP="00F16C9B">
      <w:pPr>
        <w:numPr>
          <w:ilvl w:val="0"/>
          <w:numId w:val="38"/>
        </w:numPr>
        <w:tabs>
          <w:tab w:val="clear" w:pos="720"/>
          <w:tab w:val="num" w:pos="810"/>
          <w:tab w:val="left" w:pos="900"/>
        </w:tabs>
        <w:spacing w:after="120"/>
        <w:ind w:left="734" w:hanging="187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Административни</w:t>
      </w:r>
      <w:r w:rsidR="00C879D8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извори</w:t>
      </w:r>
      <w:r w:rsidR="00C879D8" w:rsidRPr="00635DB1">
        <w:rPr>
          <w:rFonts w:ascii="Calibri" w:hAnsi="Calibri"/>
          <w:lang w:val="ru-RU"/>
        </w:rPr>
        <w:t>:</w:t>
      </w:r>
    </w:p>
    <w:p w:rsidR="00C879D8" w:rsidRPr="00635DB1" w:rsidRDefault="00C64365" w:rsidP="00AD443C">
      <w:pPr>
        <w:numPr>
          <w:ilvl w:val="1"/>
          <w:numId w:val="19"/>
        </w:numPr>
        <w:tabs>
          <w:tab w:val="clear" w:pos="624"/>
          <w:tab w:val="num" w:pos="1260"/>
          <w:tab w:val="left" w:pos="1440"/>
        </w:tabs>
        <w:ind w:left="900" w:firstLine="9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годишњи</w:t>
      </w:r>
      <w:r w:rsidR="00261D6A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финансијски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извештаји</w:t>
      </w:r>
      <w:r w:rsidR="003377F8" w:rsidRPr="00635DB1">
        <w:rPr>
          <w:rFonts w:ascii="Calibri" w:hAnsi="Calibri"/>
          <w:lang w:val="ru-RU"/>
        </w:rPr>
        <w:t>,</w:t>
      </w:r>
    </w:p>
    <w:p w:rsidR="008A7D28" w:rsidRPr="008A7D28" w:rsidRDefault="00C64365" w:rsidP="00545B6F">
      <w:pPr>
        <w:numPr>
          <w:ilvl w:val="1"/>
          <w:numId w:val="19"/>
        </w:numPr>
        <w:tabs>
          <w:tab w:val="clear" w:pos="624"/>
          <w:tab w:val="num" w:pos="1260"/>
          <w:tab w:val="left" w:pos="1440"/>
        </w:tabs>
        <w:ind w:left="900" w:firstLine="9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подаци</w:t>
      </w:r>
      <w:r w:rsidR="003D2F62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3D2F62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кретању</w:t>
      </w:r>
      <w:r w:rsidR="003D2F62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девизних</w:t>
      </w:r>
      <w:r w:rsidR="003D2F62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курсева</w:t>
      </w:r>
      <w:r w:rsidR="00B2694C">
        <w:rPr>
          <w:rFonts w:ascii="Calibri" w:hAnsi="Calibri"/>
          <w:lang w:val="sr-Latn-CS"/>
        </w:rPr>
        <w:t>,</w:t>
      </w:r>
    </w:p>
    <w:p w:rsidR="008E14FF" w:rsidRPr="008E14FF" w:rsidRDefault="00C64365" w:rsidP="00965837">
      <w:pPr>
        <w:numPr>
          <w:ilvl w:val="1"/>
          <w:numId w:val="19"/>
        </w:numPr>
        <w:tabs>
          <w:tab w:val="clear" w:pos="624"/>
          <w:tab w:val="num" w:pos="1260"/>
          <w:tab w:val="left" w:pos="1440"/>
        </w:tabs>
        <w:spacing w:after="120"/>
        <w:ind w:left="907" w:firstLine="86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sr-Latn-CS"/>
        </w:rPr>
        <w:t>платни</w:t>
      </w:r>
      <w:r w:rsidR="00A6117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биланс</w:t>
      </w:r>
      <w:r w:rsidR="00D4110E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D4110E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др</w:t>
      </w:r>
      <w:r w:rsidR="00D4110E" w:rsidRPr="00635DB1">
        <w:rPr>
          <w:rFonts w:ascii="Calibri" w:hAnsi="Calibri"/>
          <w:lang w:val="sr-Latn-CS"/>
        </w:rPr>
        <w:t>.</w:t>
      </w:r>
    </w:p>
    <w:p w:rsidR="00983545" w:rsidRPr="008E4CA5" w:rsidRDefault="00C64365" w:rsidP="00B675E2">
      <w:pPr>
        <w:spacing w:after="120"/>
        <w:ind w:firstLine="720"/>
        <w:jc w:val="both"/>
        <w:rPr>
          <w:rFonts w:ascii="Calibri" w:hAnsi="Calibri"/>
          <w:i/>
          <w:lang w:val="sr-Latn-CS"/>
        </w:rPr>
      </w:pPr>
      <w:r>
        <w:rPr>
          <w:rFonts w:ascii="Calibri" w:hAnsi="Calibri"/>
          <w:i/>
          <w:lang w:val="sr-Cyrl-CS"/>
        </w:rPr>
        <w:t>Инвестиције</w:t>
      </w:r>
      <w:r w:rsidR="008E4CA5" w:rsidRPr="008E4CA5">
        <w:rPr>
          <w:rFonts w:ascii="Calibri" w:hAnsi="Calibri"/>
          <w:i/>
          <w:lang w:val="sr-Cyrl-CS"/>
        </w:rPr>
        <w:t xml:space="preserve"> </w:t>
      </w:r>
      <w:r>
        <w:rPr>
          <w:rFonts w:ascii="Calibri" w:hAnsi="Calibri"/>
          <w:i/>
          <w:lang w:val="sr-Cyrl-CS"/>
        </w:rPr>
        <w:t>у</w:t>
      </w:r>
      <w:r w:rsidR="008E4CA5" w:rsidRPr="008E4CA5">
        <w:rPr>
          <w:rFonts w:ascii="Calibri" w:hAnsi="Calibri"/>
          <w:i/>
          <w:lang w:val="sr-Cyrl-CS"/>
        </w:rPr>
        <w:t xml:space="preserve"> </w:t>
      </w:r>
      <w:r>
        <w:rPr>
          <w:rFonts w:ascii="Calibri" w:hAnsi="Calibri"/>
          <w:i/>
          <w:lang w:val="sr-Latn-CS"/>
        </w:rPr>
        <w:t>зграде</w:t>
      </w:r>
      <w:r w:rsidR="005509E2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</w:t>
      </w:r>
      <w:r w:rsidR="005509E2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остале</w:t>
      </w:r>
      <w:r w:rsidR="005509E2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грађевине</w:t>
      </w:r>
      <w:r w:rsidR="001A3C5F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A3C5F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1A3C5F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обрачунавају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1A3C5F" w:rsidRP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1A3C5F" w:rsidRPr="0080498E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Имајући</w:t>
      </w:r>
      <w:r w:rsid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виду</w:t>
      </w:r>
      <w:r w:rsid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да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трошкови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грађевинарству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обухватају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трошкове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грађевинског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материјала</w:t>
      </w:r>
      <w:r w:rsidR="00ED3C6F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енергије</w:t>
      </w:r>
      <w:r w:rsidR="00ED3C6F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транспорта</w:t>
      </w:r>
      <w:r w:rsidR="00ED3C6F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зараде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запослених</w:t>
      </w:r>
      <w:r w:rsidR="00ED3C6F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као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многе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друге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издатке</w:t>
      </w:r>
      <w:r w:rsidR="00ED3C6F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дефлатор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грађевинске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радове</w:t>
      </w:r>
      <w:r w:rsidR="003E611D">
        <w:rPr>
          <w:rFonts w:ascii="Calibri" w:hAnsi="Calibri"/>
          <w:lang w:val="sr-Latn-CS"/>
        </w:rPr>
        <w:t xml:space="preserve"> </w:t>
      </w:r>
      <w:r w:rsidR="00D31BC6">
        <w:rPr>
          <w:rFonts w:ascii="Calibri" w:hAnsi="Calibri"/>
          <w:lang w:val="sr-Latn-CS"/>
        </w:rPr>
        <w:t>(</w:t>
      </w:r>
      <w:r w:rsidR="00893AFF">
        <w:rPr>
          <w:rFonts w:ascii="Calibri" w:hAnsi="Calibri"/>
          <w:lang w:val="sr-Cyrl-CS"/>
        </w:rPr>
        <w:t>к</w:t>
      </w:r>
      <w:r>
        <w:rPr>
          <w:rFonts w:ascii="Calibri" w:hAnsi="Calibri"/>
          <w:lang w:val="sr-Latn-CS"/>
        </w:rPr>
        <w:t>омпозитни</w:t>
      </w:r>
      <w:r w:rsidR="00A07D41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A07D41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A07D41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A07D41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зграде</w:t>
      </w:r>
      <w:r w:rsidR="00B82FC0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B82FC0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остале</w:t>
      </w:r>
      <w:r w:rsidR="00B82FC0" w:rsidRPr="00D31BC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грађевине</w:t>
      </w:r>
      <w:r w:rsidR="00D31BC6" w:rsidRPr="00D31BC6">
        <w:rPr>
          <w:rFonts w:ascii="Calibri" w:hAnsi="Calibri"/>
          <w:lang w:val="sr-Latn-CS"/>
        </w:rPr>
        <w:t>)</w:t>
      </w:r>
      <w:r w:rsidR="00B82FC0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</w:t>
      </w:r>
      <w:r w:rsidR="00ED3C6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пондерисањем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одговарајућих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произвођача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индустријских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домаће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тржиште</w:t>
      </w:r>
      <w:r w:rsidR="001A3C5F" w:rsidRPr="002B70DF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елемента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материјала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уграђивање</w:t>
      </w:r>
      <w:r w:rsidR="00402A25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402A25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грађевинарству</w:t>
      </w:r>
      <w:r w:rsidR="00402A25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енергије</w:t>
      </w:r>
      <w:r w:rsidR="001A3C5F" w:rsidRPr="002B70DF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моторних</w:t>
      </w:r>
      <w:r w:rsidR="00F809A2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возила</w:t>
      </w:r>
      <w:r w:rsidR="00F809A2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F809A2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приколица</w:t>
      </w:r>
      <w:r w:rsidR="00F809A2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F809A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непоменутих</w:t>
      </w:r>
      <w:r w:rsidR="006E067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машина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A3C5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опреме</w:t>
      </w:r>
      <w:r w:rsidR="001A3C5F" w:rsidRPr="002B70DF">
        <w:rPr>
          <w:rFonts w:ascii="Calibri" w:hAnsi="Calibri"/>
          <w:lang w:val="sr-Latn-CS"/>
        </w:rPr>
        <w:t xml:space="preserve">) </w:t>
      </w:r>
      <w:r>
        <w:rPr>
          <w:rFonts w:ascii="Calibri" w:hAnsi="Calibri"/>
          <w:lang w:val="sr-Latn-CS"/>
        </w:rPr>
        <w:t>и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просечних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бруто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зарада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DB3623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сектору</w:t>
      </w:r>
      <w:r w:rsidR="000B06DF" w:rsidRPr="002B70D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грађевинарства</w:t>
      </w:r>
      <w:r w:rsidR="001A3C5F" w:rsidRPr="002B70DF">
        <w:rPr>
          <w:rFonts w:ascii="Calibri" w:hAnsi="Calibri"/>
          <w:lang w:val="sr-Latn-CS"/>
        </w:rPr>
        <w:t xml:space="preserve">. </w:t>
      </w:r>
    </w:p>
    <w:p w:rsidR="00C8717D" w:rsidRPr="00635DB1" w:rsidRDefault="00C64365" w:rsidP="00B675E2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На</w:t>
      </w:r>
      <w:r w:rsidR="00DB3623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овај</w:t>
      </w:r>
      <w:r w:rsidR="00DB3623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начин</w:t>
      </w:r>
      <w:r w:rsidR="00DB3623" w:rsidRPr="002C69C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све</w:t>
      </w:r>
      <w:r w:rsidR="00DB3623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компоненте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трошкова</w:t>
      </w:r>
      <w:r w:rsidR="00DB3623" w:rsidRPr="002C69C3">
        <w:rPr>
          <w:rFonts w:ascii="Calibri" w:hAnsi="Calibri"/>
          <w:lang w:val="sr-Latn-CS"/>
        </w:rPr>
        <w:t xml:space="preserve"> </w:t>
      </w:r>
      <w:r w:rsidR="00A07D41" w:rsidRPr="002C69C3">
        <w:rPr>
          <w:rFonts w:ascii="Calibri" w:hAnsi="Calibri"/>
          <w:lang w:val="sr-Latn-CS"/>
        </w:rPr>
        <w:t>(</w:t>
      </w:r>
      <w:r>
        <w:rPr>
          <w:rFonts w:ascii="Calibri" w:hAnsi="Calibri"/>
          <w:lang w:val="sr-Latn-CS"/>
        </w:rPr>
        <w:t>материјални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трошкови</w:t>
      </w:r>
      <w:r w:rsidR="00A07D41" w:rsidRPr="002C69C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потрошња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1108E7" w:rsidRPr="00635DB1">
        <w:rPr>
          <w:rFonts w:ascii="Calibri" w:hAnsi="Calibri"/>
          <w:lang w:val="sr-Latn-CS"/>
        </w:rPr>
        <w:t xml:space="preserve"> </w:t>
      </w:r>
      <w:r w:rsidR="00585359">
        <w:rPr>
          <w:rFonts w:ascii="Calibri" w:hAnsi="Calibri"/>
          <w:lang w:val="sr-Cyrl-RS"/>
        </w:rPr>
        <w:t>средстава</w:t>
      </w:r>
      <w:r w:rsidR="00402A25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402A25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накнаде</w:t>
      </w:r>
      <w:r w:rsidR="00402A25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запослених</w:t>
      </w:r>
      <w:r w:rsidR="00402A25" w:rsidRPr="002C69C3">
        <w:rPr>
          <w:rFonts w:ascii="Calibri" w:hAnsi="Calibri"/>
          <w:lang w:val="sr-Latn-CS"/>
        </w:rPr>
        <w:t>)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узимају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402A25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обзир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тако</w:t>
      </w:r>
      <w:r w:rsidR="005509E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што</w:t>
      </w:r>
      <w:r w:rsidR="005509E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5509E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има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виду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lastRenderedPageBreak/>
        <w:t>њихов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удео</w:t>
      </w:r>
      <w:r w:rsidR="00DB3623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укупним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трошковима</w:t>
      </w:r>
      <w:r w:rsidR="00A07D41" w:rsidRPr="002C69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изградње</w:t>
      </w:r>
      <w:r w:rsidR="00A07D41" w:rsidRPr="002C69C3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ru-RU"/>
        </w:rPr>
        <w:t>Пондери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>
        <w:rPr>
          <w:rFonts w:ascii="Calibri" w:hAnsi="Calibri"/>
          <w:lang w:val="sr-Latn-CS"/>
        </w:rPr>
        <w:t>е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обрачуна</w:t>
      </w:r>
      <w:r>
        <w:rPr>
          <w:rFonts w:ascii="Calibri" w:hAnsi="Calibri"/>
          <w:lang w:val="sr-Latn-CS"/>
        </w:rPr>
        <w:t>вају</w:t>
      </w:r>
      <w:r w:rsidR="004D2229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="004D2229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основу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података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="004D2229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годишњих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финансијских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извештаја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грађевинских</w:t>
      </w:r>
      <w:r w:rsidR="00DB3623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предузећа</w:t>
      </w:r>
      <w:r w:rsidR="00A07D41" w:rsidRPr="00635DB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као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учешћа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сваког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елемента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трошкова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укупним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трошковима</w:t>
      </w:r>
      <w:r w:rsidR="00A07D41" w:rsidRPr="00635DB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предузећа</w:t>
      </w:r>
      <w:r w:rsidR="00A07D41" w:rsidRPr="00635DB1">
        <w:rPr>
          <w:rFonts w:ascii="Calibri" w:hAnsi="Calibri"/>
          <w:lang w:val="ru-RU"/>
        </w:rPr>
        <w:t>.</w:t>
      </w:r>
    </w:p>
    <w:p w:rsidR="00291E54" w:rsidRPr="003E611D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i/>
          <w:lang w:val="sr-Latn-CS"/>
        </w:rPr>
        <w:t>Инвестиције</w:t>
      </w:r>
      <w:r w:rsidR="0080498E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80498E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домаће</w:t>
      </w:r>
      <w:r w:rsidR="00642780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машине</w:t>
      </w:r>
      <w:r w:rsidR="0080498E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</w:t>
      </w:r>
      <w:r w:rsidR="0080498E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опрему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обрачунавају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80498E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Као</w:t>
      </w:r>
      <w:r w:rsidR="0080498E">
        <w:rPr>
          <w:rFonts w:ascii="Calibri" w:hAnsi="Calibri"/>
          <w:lang w:val="sr-Latn-CS"/>
        </w:rPr>
        <w:t xml:space="preserve"> </w:t>
      </w:r>
      <w:r w:rsidR="00893AFF">
        <w:rPr>
          <w:rFonts w:ascii="Calibri" w:hAnsi="Calibri"/>
          <w:lang w:val="sr-Latn-CS"/>
        </w:rPr>
        <w:t>дефлат</w:t>
      </w:r>
      <w:r>
        <w:rPr>
          <w:rFonts w:ascii="Calibri" w:hAnsi="Calibri"/>
          <w:lang w:val="sr-Latn-CS"/>
        </w:rPr>
        <w:t>ор</w:t>
      </w:r>
      <w:r w:rsidR="0080498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CS"/>
        </w:rPr>
        <w:t>корист</w:t>
      </w:r>
      <w:r>
        <w:rPr>
          <w:rFonts w:ascii="Calibri" w:hAnsi="Calibri"/>
          <w:lang w:val="sr-Latn-CS"/>
        </w:rPr>
        <w:t>и</w:t>
      </w:r>
      <w:r w:rsidR="00B4320C" w:rsidRPr="0080498E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се</w:t>
      </w:r>
      <w:r w:rsidR="00642780" w:rsidRPr="00642780">
        <w:rPr>
          <w:rFonts w:ascii="Calibri" w:hAnsi="Calibri"/>
          <w:i/>
          <w:lang w:val="sr-Latn-CS"/>
        </w:rPr>
        <w:t xml:space="preserve"> </w:t>
      </w:r>
      <w:r w:rsidR="00893AFF">
        <w:rPr>
          <w:rFonts w:ascii="Calibri" w:hAnsi="Calibri"/>
          <w:lang w:val="sr-Cyrl-CS"/>
        </w:rPr>
        <w:t>к</w:t>
      </w:r>
      <w:r>
        <w:rPr>
          <w:rFonts w:ascii="Calibri" w:hAnsi="Calibri"/>
          <w:lang w:val="sr-Latn-CS"/>
        </w:rPr>
        <w:t>омпозитни</w:t>
      </w:r>
      <w:r w:rsidR="00642780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642780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642780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642780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</w:t>
      </w:r>
      <w:r>
        <w:rPr>
          <w:rFonts w:ascii="Calibri" w:hAnsi="Calibri"/>
          <w:lang w:val="sr-Cyrl-CS"/>
        </w:rPr>
        <w:t>у</w:t>
      </w:r>
      <w:r w:rsidR="00642780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</w:t>
      </w:r>
      <w:r>
        <w:rPr>
          <w:rFonts w:ascii="Calibri" w:hAnsi="Calibri"/>
          <w:lang w:val="sr-Cyrl-CS"/>
        </w:rPr>
        <w:t>у</w:t>
      </w:r>
      <w:r w:rsidR="00642780" w:rsidRPr="003E611D">
        <w:rPr>
          <w:rFonts w:ascii="Calibri" w:hAnsi="Calibri"/>
          <w:lang w:val="sr-Latn-CS"/>
        </w:rPr>
        <w:t xml:space="preserve">. </w:t>
      </w:r>
    </w:p>
    <w:p w:rsidR="00642780" w:rsidRPr="00635DB1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Полазна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његово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израчунавање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резултати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Годишњег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инвестицијама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42780" w:rsidRPr="00642780">
        <w:rPr>
          <w:rFonts w:ascii="Calibri" w:hAnsi="Calibri"/>
          <w:lang w:val="sr-Latn-CS"/>
        </w:rPr>
        <w:t xml:space="preserve"> </w:t>
      </w:r>
      <w:r w:rsidR="00585359">
        <w:rPr>
          <w:rFonts w:ascii="Calibri" w:hAnsi="Calibri"/>
          <w:lang w:val="sr-Latn-CS"/>
        </w:rPr>
        <w:t>основн</w:t>
      </w:r>
      <w:r w:rsidR="00585359">
        <w:rPr>
          <w:rFonts w:ascii="Calibri" w:hAnsi="Calibri"/>
          <w:lang w:val="sr-Cyrl-RS"/>
        </w:rPr>
        <w:t>а</w:t>
      </w:r>
      <w:r w:rsidR="00642780" w:rsidRPr="00642780">
        <w:rPr>
          <w:rFonts w:ascii="Calibri" w:hAnsi="Calibri"/>
          <w:lang w:val="sr-Latn-CS"/>
        </w:rPr>
        <w:t xml:space="preserve"> </w:t>
      </w:r>
      <w:r w:rsidR="00585359">
        <w:rPr>
          <w:rFonts w:ascii="Calibri" w:hAnsi="Calibri"/>
          <w:lang w:val="sr-Cyrl-RS"/>
        </w:rPr>
        <w:t>средства</w:t>
      </w:r>
      <w:r w:rsidR="00B81B44">
        <w:rPr>
          <w:rFonts w:ascii="Calibri" w:hAnsi="Calibri"/>
          <w:lang w:val="sr-Latn-CS"/>
        </w:rPr>
        <w:t>,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основу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којих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располаже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детаљним</w:t>
      </w:r>
      <w:r w:rsid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подацима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вредностима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домаћу</w:t>
      </w:r>
      <w:r w:rsid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опрему</w:t>
      </w:r>
      <w:r w:rsidR="00642780" w:rsidRPr="00642780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рашчлањеним</w:t>
      </w:r>
      <w:r w:rsidR="00642780" w:rsidRPr="003655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642780" w:rsidRPr="00642780">
        <w:rPr>
          <w:rFonts w:ascii="Calibri" w:hAnsi="Calibri"/>
          <w:lang w:val="sr-Latn-CS"/>
        </w:rPr>
        <w:t xml:space="preserve"> 10 </w:t>
      </w:r>
      <w:r>
        <w:rPr>
          <w:rFonts w:ascii="Calibri" w:hAnsi="Calibri"/>
          <w:lang w:val="sr-Latn-CS"/>
        </w:rPr>
        <w:t>категорија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642780" w:rsidRPr="00635DB1">
        <w:rPr>
          <w:rFonts w:ascii="Calibri" w:hAnsi="Calibri"/>
          <w:lang w:val="sr-Latn-CS"/>
        </w:rPr>
        <w:t xml:space="preserve"> </w:t>
      </w:r>
      <w:r w:rsidR="00CF5800">
        <w:rPr>
          <w:rFonts w:ascii="Calibri" w:hAnsi="Calibri"/>
          <w:lang w:val="sr-Cyrl-RS"/>
        </w:rPr>
        <w:t>средстава</w:t>
      </w:r>
      <w:r w:rsidR="00642780" w:rsidRPr="00635DB1">
        <w:rPr>
          <w:rFonts w:ascii="Calibri" w:hAnsi="Calibri"/>
          <w:lang w:val="sr-Latn-CS"/>
        </w:rPr>
        <w:t>.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Вредности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сваке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ових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категорија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8E4CA5">
        <w:rPr>
          <w:rFonts w:ascii="Calibri" w:hAnsi="Calibri"/>
          <w:lang w:val="sr-Latn-CS"/>
        </w:rPr>
        <w:t xml:space="preserve"> </w:t>
      </w:r>
      <w:r w:rsidR="00CF5800">
        <w:rPr>
          <w:rFonts w:ascii="Calibri" w:hAnsi="Calibri"/>
          <w:lang w:val="sr-Cyrl-RS"/>
        </w:rPr>
        <w:t>средстава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дефлационирају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одговарајућим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индексима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произвођача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индустријских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домаће</w:t>
      </w:r>
      <w:r w:rsid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тржиште</w:t>
      </w:r>
      <w:r w:rsidR="00AC6098">
        <w:rPr>
          <w:rFonts w:ascii="Calibri" w:hAnsi="Calibri"/>
          <w:lang w:val="sr-Latn-CS"/>
        </w:rPr>
        <w:t>,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пондерисаним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учешћем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CS"/>
        </w:rPr>
        <w:t>те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групе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укупним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инвестицијама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42780" w:rsidRPr="007F1AC7">
        <w:rPr>
          <w:rFonts w:ascii="Calibri" w:hAnsi="Calibri"/>
          <w:lang w:val="sr-Latn-CS"/>
        </w:rPr>
        <w:t xml:space="preserve"> </w:t>
      </w:r>
      <w:r w:rsidR="00893AFF">
        <w:rPr>
          <w:rFonts w:ascii="Calibri" w:hAnsi="Calibri"/>
          <w:lang w:val="sr-Cyrl-CS"/>
        </w:rPr>
        <w:t xml:space="preserve">домаћу </w:t>
      </w:r>
      <w:r>
        <w:rPr>
          <w:rFonts w:ascii="Calibri" w:hAnsi="Calibri"/>
          <w:lang w:val="sr-Latn-CS"/>
        </w:rPr>
        <w:t>опрему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нивоу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сектора</w:t>
      </w:r>
      <w:r w:rsidR="00642780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Класификације</w:t>
      </w:r>
      <w:r w:rsid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делатости</w:t>
      </w:r>
      <w:r w:rsidR="00642780" w:rsidRPr="007F1AC7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Добијени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композитни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индекси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различити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сваки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сектор</w:t>
      </w:r>
      <w:r w:rsidR="00642780" w:rsidRPr="00642780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јер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је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структура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642780" w:rsidRPr="00642780">
        <w:rPr>
          <w:rFonts w:ascii="Calibri" w:hAnsi="Calibri"/>
          <w:lang w:val="sr-Latn-CS"/>
        </w:rPr>
        <w:t xml:space="preserve"> </w:t>
      </w:r>
      <w:r w:rsidR="00CF5800">
        <w:rPr>
          <w:rFonts w:ascii="Calibri" w:hAnsi="Calibri"/>
          <w:lang w:val="sr-Cyrl-RS"/>
        </w:rPr>
        <w:t>средстава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различита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</w:t>
      </w:r>
      <w:r w:rsidR="00642780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делатностима</w:t>
      </w:r>
      <w:r w:rsidR="00642780" w:rsidRPr="00642780">
        <w:rPr>
          <w:rFonts w:ascii="Calibri" w:hAnsi="Calibri"/>
          <w:lang w:val="sr-Latn-CS"/>
        </w:rPr>
        <w:t>.</w:t>
      </w:r>
    </w:p>
    <w:p w:rsidR="00291E54" w:rsidRPr="003E611D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i/>
          <w:lang w:val="sr-Latn-CS"/>
        </w:rPr>
        <w:t>Инвестиције</w:t>
      </w:r>
      <w:r w:rsidR="00AC6098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AC6098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увозну</w:t>
      </w:r>
      <w:r w:rsidR="00AC6098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опрему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обрачунавају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3655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3655C3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Као</w:t>
      </w:r>
      <w:r w:rsidR="003655C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дефлатор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CS"/>
        </w:rPr>
        <w:t>корист</w:t>
      </w:r>
      <w:r>
        <w:rPr>
          <w:rFonts w:ascii="Calibri" w:hAnsi="Calibri"/>
          <w:lang w:val="sr-Latn-CS"/>
        </w:rPr>
        <w:t>и</w:t>
      </w:r>
      <w:r w:rsidR="00AC6098" w:rsidRPr="0080498E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се</w:t>
      </w:r>
      <w:r w:rsidR="00AC6098" w:rsidRPr="00642780">
        <w:rPr>
          <w:rFonts w:ascii="Calibri" w:hAnsi="Calibri"/>
          <w:i/>
          <w:lang w:val="sr-Latn-CS"/>
        </w:rPr>
        <w:t xml:space="preserve"> </w:t>
      </w:r>
      <w:r w:rsidR="00893AFF">
        <w:rPr>
          <w:rFonts w:ascii="Calibri" w:hAnsi="Calibri"/>
          <w:lang w:val="sr-Cyrl-CS"/>
        </w:rPr>
        <w:t>к</w:t>
      </w:r>
      <w:r>
        <w:rPr>
          <w:rFonts w:ascii="Calibri" w:hAnsi="Calibri"/>
          <w:lang w:val="sr-Latn-CS"/>
        </w:rPr>
        <w:t>омпозитни</w:t>
      </w:r>
      <w:r w:rsidR="00AC6098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AC6098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AC6098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AC6098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увозну</w:t>
      </w:r>
      <w:r w:rsidR="00AC6098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</w:t>
      </w:r>
      <w:r>
        <w:rPr>
          <w:rFonts w:ascii="Calibri" w:hAnsi="Calibri"/>
          <w:lang w:val="sr-Cyrl-CS"/>
        </w:rPr>
        <w:t>у</w:t>
      </w:r>
      <w:r w:rsidR="00AC6098" w:rsidRPr="003E611D">
        <w:rPr>
          <w:rFonts w:ascii="Calibri" w:hAnsi="Calibri"/>
          <w:lang w:val="sr-Latn-CS"/>
        </w:rPr>
        <w:t xml:space="preserve">. </w:t>
      </w:r>
    </w:p>
    <w:p w:rsidR="00AC6098" w:rsidRPr="00F16B55" w:rsidRDefault="00C64365" w:rsidP="00B675E2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Полазна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његово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израчунавање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резултати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инвестицијама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 w:rsidRPr="00642780">
        <w:rPr>
          <w:rFonts w:ascii="Calibri" w:hAnsi="Calibri"/>
          <w:lang w:val="sr-Latn-CS"/>
        </w:rPr>
        <w:t xml:space="preserve"> </w:t>
      </w:r>
      <w:r w:rsidR="00213EBD">
        <w:rPr>
          <w:rFonts w:ascii="Calibri" w:hAnsi="Calibri"/>
          <w:lang w:val="sr-Latn-CS"/>
        </w:rPr>
        <w:t>основн</w:t>
      </w:r>
      <w:r w:rsidR="00213EBD">
        <w:rPr>
          <w:rFonts w:ascii="Calibri" w:hAnsi="Calibri"/>
          <w:lang w:val="sr-Cyrl-RS"/>
        </w:rPr>
        <w:t>а</w:t>
      </w:r>
      <w:r w:rsidR="00AC6098" w:rsidRPr="00642780">
        <w:rPr>
          <w:rFonts w:ascii="Calibri" w:hAnsi="Calibri"/>
          <w:lang w:val="sr-Latn-CS"/>
        </w:rPr>
        <w:t xml:space="preserve"> </w:t>
      </w:r>
      <w:r w:rsidR="00213EBD">
        <w:rPr>
          <w:rFonts w:ascii="Calibri" w:hAnsi="Calibri"/>
          <w:lang w:val="sr-Cyrl-RS"/>
        </w:rPr>
        <w:t>средства</w:t>
      </w:r>
      <w:r w:rsidR="003655C3">
        <w:rPr>
          <w:rFonts w:ascii="Calibri" w:hAnsi="Calibri"/>
          <w:lang w:val="sr-Latn-CS"/>
        </w:rPr>
        <w:t>,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основу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којих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располаже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детаљним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подацима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вредностима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увозну</w:t>
      </w:r>
      <w:r w:rsidR="00AC609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опрему</w:t>
      </w:r>
      <w:r w:rsidR="00965837">
        <w:rPr>
          <w:rFonts w:ascii="Calibri" w:hAnsi="Calibri"/>
          <w:lang w:val="sr-Latn-CS"/>
        </w:rPr>
        <w:t>,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рашчлањеним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BE4104">
        <w:rPr>
          <w:rFonts w:ascii="Calibri" w:hAnsi="Calibri"/>
          <w:lang w:val="sr-Latn-CS"/>
        </w:rPr>
        <w:t xml:space="preserve"> </w:t>
      </w:r>
      <w:r w:rsidR="00AC6098" w:rsidRPr="00642780">
        <w:rPr>
          <w:rFonts w:ascii="Calibri" w:hAnsi="Calibri"/>
          <w:lang w:val="sr-Latn-CS"/>
        </w:rPr>
        <w:t xml:space="preserve">10 </w:t>
      </w:r>
      <w:r>
        <w:rPr>
          <w:rFonts w:ascii="Calibri" w:hAnsi="Calibri"/>
          <w:lang w:val="sr-Latn-CS"/>
        </w:rPr>
        <w:t>категорија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AC6098" w:rsidRPr="00635DB1">
        <w:rPr>
          <w:rFonts w:ascii="Calibri" w:hAnsi="Calibri"/>
          <w:lang w:val="sr-Latn-CS"/>
        </w:rPr>
        <w:t xml:space="preserve"> </w:t>
      </w:r>
      <w:r w:rsidR="00213EBD">
        <w:rPr>
          <w:rFonts w:ascii="Calibri" w:hAnsi="Calibri"/>
          <w:lang w:val="sr-Cyrl-RS"/>
        </w:rPr>
        <w:t>средстава</w:t>
      </w:r>
      <w:r w:rsidR="00AC6098" w:rsidRPr="00635DB1">
        <w:rPr>
          <w:rFonts w:ascii="Calibri" w:hAnsi="Calibri"/>
          <w:lang w:val="sr-Latn-CS"/>
        </w:rPr>
        <w:t>.</w:t>
      </w:r>
      <w:r w:rsidR="00AC6098" w:rsidRPr="0064278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Вредности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сваке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ових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категорија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8E4CA5">
        <w:rPr>
          <w:rFonts w:ascii="Calibri" w:hAnsi="Calibri"/>
          <w:lang w:val="sr-Latn-CS"/>
        </w:rPr>
        <w:t xml:space="preserve"> </w:t>
      </w:r>
      <w:r w:rsidR="0081054F">
        <w:rPr>
          <w:rFonts w:ascii="Calibri" w:hAnsi="Calibri"/>
          <w:lang w:val="sr-Cyrl-RS"/>
        </w:rPr>
        <w:t>средстава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дефлационирају</w:t>
      </w:r>
      <w:r w:rsidR="00AC6098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пондерисаним</w:t>
      </w:r>
      <w:r w:rsidR="00AC6098" w:rsidRPr="00291E54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индексима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произвођача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индустријских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извоз</w:t>
      </w:r>
      <w:r w:rsidR="00AC6098" w:rsidRPr="00291E54">
        <w:rPr>
          <w:rFonts w:ascii="Calibri" w:hAnsi="Calibri"/>
          <w:lang w:val="sr-Latn-CS"/>
        </w:rPr>
        <w:t xml:space="preserve"> 10 </w:t>
      </w:r>
      <w:r>
        <w:rPr>
          <w:rFonts w:ascii="Calibri" w:hAnsi="Calibri"/>
          <w:lang w:val="sr-Latn-CS"/>
        </w:rPr>
        <w:t>најважнијих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партнера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којих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увози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свака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група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AC6098" w:rsidRPr="00291E54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коригованим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односом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просечног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годишњег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курса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одговарајућих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страних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валута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према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динару</w:t>
      </w:r>
      <w:r w:rsidR="00AC6098" w:rsidRPr="00291E54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Свака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категорија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8E4CA5">
        <w:rPr>
          <w:rFonts w:ascii="Calibri" w:hAnsi="Calibri"/>
          <w:lang w:val="sr-Latn-CS"/>
        </w:rPr>
        <w:t xml:space="preserve"> </w:t>
      </w:r>
      <w:r w:rsidR="005B5D8C">
        <w:rPr>
          <w:rFonts w:ascii="Calibri" w:hAnsi="Calibri"/>
          <w:lang w:val="sr-Cyrl-RS"/>
        </w:rPr>
        <w:t>средста</w:t>
      </w:r>
      <w:r>
        <w:rPr>
          <w:rFonts w:ascii="Calibri" w:hAnsi="Calibri"/>
          <w:lang w:val="sr-Latn-CS"/>
        </w:rPr>
        <w:t>ва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узима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291E54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291E54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обзир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сразмерно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њеном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учешћу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укупним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инвестицијама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AC6098" w:rsidRPr="00291E54">
        <w:rPr>
          <w:rFonts w:ascii="Calibri" w:hAnsi="Calibri"/>
          <w:lang w:val="sr-Latn-CS"/>
        </w:rPr>
        <w:t xml:space="preserve"> </w:t>
      </w:r>
      <w:r w:rsidR="00893AFF">
        <w:rPr>
          <w:rFonts w:ascii="Calibri" w:hAnsi="Calibri"/>
          <w:lang w:val="sr-Cyrl-CS"/>
        </w:rPr>
        <w:t xml:space="preserve">увозну </w:t>
      </w:r>
      <w:r>
        <w:rPr>
          <w:rFonts w:ascii="Calibri" w:hAnsi="Calibri"/>
          <w:lang w:val="sr-Latn-CS"/>
        </w:rPr>
        <w:t>опрему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AC6098" w:rsidRPr="00291E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нивоу</w:t>
      </w:r>
      <w:r w:rsidR="00AC6098" w:rsidRPr="00291E54">
        <w:rPr>
          <w:rFonts w:ascii="Calibri" w:hAnsi="Calibri"/>
          <w:lang w:val="sr-Latn-CS"/>
        </w:rPr>
        <w:t xml:space="preserve"> </w:t>
      </w:r>
      <w:r w:rsidRPr="00F16B55">
        <w:rPr>
          <w:rFonts w:ascii="Calibri" w:hAnsi="Calibri"/>
          <w:lang w:val="sr-Latn-CS"/>
        </w:rPr>
        <w:t>сектора</w:t>
      </w:r>
      <w:r w:rsidR="00AC6098" w:rsidRPr="00F16B55">
        <w:rPr>
          <w:rFonts w:ascii="Calibri" w:hAnsi="Calibri"/>
          <w:lang w:val="sr-Latn-CS"/>
        </w:rPr>
        <w:t xml:space="preserve"> </w:t>
      </w:r>
      <w:r w:rsidRPr="00F16B55">
        <w:rPr>
          <w:rFonts w:ascii="Calibri" w:hAnsi="Calibri"/>
          <w:lang w:val="sr-Latn-CS"/>
        </w:rPr>
        <w:t>К</w:t>
      </w:r>
      <w:r w:rsidR="00F16B55" w:rsidRPr="00F16B55">
        <w:rPr>
          <w:rFonts w:ascii="Calibri" w:hAnsi="Calibri"/>
          <w:lang w:val="sr-Cyrl-CS"/>
        </w:rPr>
        <w:t>ласификације делатности</w:t>
      </w:r>
      <w:r w:rsidR="00AC6098" w:rsidRPr="00F16B55">
        <w:rPr>
          <w:rFonts w:ascii="Calibri" w:hAnsi="Calibri"/>
          <w:lang w:val="sr-Latn-CS"/>
        </w:rPr>
        <w:t xml:space="preserve">. </w:t>
      </w:r>
    </w:p>
    <w:p w:rsidR="00DC1BF2" w:rsidRPr="00635DB1" w:rsidRDefault="00C64365" w:rsidP="00B675E2">
      <w:pPr>
        <w:spacing w:after="120"/>
        <w:ind w:firstLine="720"/>
        <w:jc w:val="both"/>
        <w:rPr>
          <w:rFonts w:ascii="Calibri" w:hAnsi="Calibri"/>
          <w:lang w:val="sr-Latn-CS"/>
        </w:rPr>
      </w:pPr>
      <w:r w:rsidRPr="00F16B55">
        <w:rPr>
          <w:rFonts w:ascii="Calibri" w:hAnsi="Calibri"/>
          <w:lang w:val="sr-Latn-CS"/>
        </w:rPr>
        <w:t>Реалан</w:t>
      </w:r>
      <w:r w:rsidR="00DC1BF2" w:rsidRPr="00F16B55">
        <w:rPr>
          <w:rFonts w:ascii="Calibri" w:hAnsi="Calibri"/>
          <w:lang w:val="sr-Latn-CS"/>
        </w:rPr>
        <w:t xml:space="preserve"> </w:t>
      </w:r>
      <w:r w:rsidRPr="00F16B55">
        <w:rPr>
          <w:rFonts w:ascii="Calibri" w:hAnsi="Calibri"/>
          <w:lang w:val="sr-Latn-CS"/>
        </w:rPr>
        <w:t>раст</w:t>
      </w:r>
      <w:r w:rsidR="00DC1BF2" w:rsidRPr="00F16B55">
        <w:rPr>
          <w:rFonts w:ascii="Calibri" w:hAnsi="Calibri"/>
          <w:lang w:val="sr-Latn-CS"/>
        </w:rPr>
        <w:t xml:space="preserve"> </w:t>
      </w:r>
      <w:r w:rsidRPr="00F16B55">
        <w:rPr>
          <w:rFonts w:ascii="Calibri" w:hAnsi="Calibri"/>
          <w:lang w:val="sr-Latn-CS"/>
        </w:rPr>
        <w:t>и</w:t>
      </w:r>
      <w:r w:rsidRPr="00F16B55">
        <w:rPr>
          <w:rFonts w:ascii="Calibri" w:hAnsi="Calibri"/>
          <w:lang w:val="ru-RU"/>
        </w:rPr>
        <w:t>нвестициј</w:t>
      </w:r>
      <w:r w:rsidRPr="00F16B55">
        <w:rPr>
          <w:rFonts w:ascii="Calibri" w:hAnsi="Calibri"/>
          <w:lang w:val="sr-Latn-CS"/>
        </w:rPr>
        <w:t>а</w:t>
      </w:r>
      <w:r w:rsidR="00DC1BF2" w:rsidRPr="00F16B55">
        <w:rPr>
          <w:rFonts w:ascii="Calibri" w:hAnsi="Calibri"/>
          <w:lang w:val="ru-RU"/>
        </w:rPr>
        <w:t xml:space="preserve"> </w:t>
      </w:r>
      <w:r w:rsidRPr="00F16B55">
        <w:rPr>
          <w:rFonts w:ascii="Calibri" w:hAnsi="Calibri"/>
          <w:lang w:val="ru-RU"/>
        </w:rPr>
        <w:t>у</w:t>
      </w:r>
      <w:r w:rsidR="00DC1BF2" w:rsidRPr="00F16B55">
        <w:rPr>
          <w:rFonts w:ascii="Calibri" w:hAnsi="Calibri"/>
          <w:lang w:val="ru-RU"/>
        </w:rPr>
        <w:t xml:space="preserve"> </w:t>
      </w:r>
      <w:r w:rsidRPr="00F16B55">
        <w:rPr>
          <w:rFonts w:ascii="Calibri" w:hAnsi="Calibri"/>
          <w:i/>
          <w:lang w:val="sr-Latn-CS"/>
        </w:rPr>
        <w:t>култивисане</w:t>
      </w:r>
      <w:r w:rsidR="00DC1BF2" w:rsidRPr="00F16B55">
        <w:rPr>
          <w:rFonts w:ascii="Calibri" w:hAnsi="Calibri"/>
          <w:i/>
          <w:lang w:val="sr-Latn-CS"/>
        </w:rPr>
        <w:t xml:space="preserve"> </w:t>
      </w:r>
      <w:r w:rsidRPr="00F16B55">
        <w:rPr>
          <w:rFonts w:ascii="Calibri" w:hAnsi="Calibri"/>
          <w:i/>
          <w:lang w:val="sr-Latn-CS"/>
        </w:rPr>
        <w:t>биолошке</w:t>
      </w:r>
      <w:r w:rsidR="00DC1BF2" w:rsidRPr="00F16B55">
        <w:rPr>
          <w:rFonts w:ascii="Calibri" w:hAnsi="Calibri"/>
          <w:i/>
          <w:lang w:val="sr-Latn-CS"/>
        </w:rPr>
        <w:t xml:space="preserve"> </w:t>
      </w:r>
      <w:r w:rsidRPr="00F16B55">
        <w:rPr>
          <w:rFonts w:ascii="Calibri" w:hAnsi="Calibri"/>
          <w:i/>
          <w:lang w:val="sr-Latn-CS"/>
        </w:rPr>
        <w:t>ресурсе</w:t>
      </w:r>
      <w:r w:rsidR="00DC1BF2" w:rsidRPr="00F16B55">
        <w:rPr>
          <w:rFonts w:ascii="Calibri" w:hAnsi="Calibri"/>
          <w:lang w:val="sr-Latn-CS"/>
        </w:rPr>
        <w:t xml:space="preserve"> </w:t>
      </w:r>
      <w:r w:rsidRPr="00F16B55">
        <w:rPr>
          <w:rFonts w:ascii="Calibri" w:hAnsi="Calibri"/>
          <w:lang w:val="sr-Latn-CS"/>
        </w:rPr>
        <w:t>добија</w:t>
      </w:r>
      <w:r w:rsidR="00DC1BF2" w:rsidRPr="00F16B55">
        <w:rPr>
          <w:rFonts w:ascii="Calibri" w:hAnsi="Calibri"/>
          <w:lang w:val="sr-Latn-CS"/>
        </w:rPr>
        <w:t xml:space="preserve"> </w:t>
      </w:r>
      <w:r w:rsidRPr="00F16B55">
        <w:rPr>
          <w:rFonts w:ascii="Calibri" w:hAnsi="Calibri"/>
          <w:lang w:val="sr-Latn-CS"/>
        </w:rPr>
        <w:t>се</w:t>
      </w:r>
      <w:r w:rsidR="00DC1BF2" w:rsidRPr="00EB2119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DC1BF2" w:rsidRPr="00C64365">
        <w:rPr>
          <w:rFonts w:ascii="Calibri" w:hAnsi="Calibri"/>
          <w:lang w:val="ru-RU"/>
        </w:rPr>
        <w:t xml:space="preserve"> </w:t>
      </w:r>
      <w:r w:rsidRPr="00C64365">
        <w:rPr>
          <w:rFonts w:ascii="Calibri" w:hAnsi="Calibri"/>
          <w:lang w:val="ru-RU"/>
        </w:rPr>
        <w:t>инвестиција</w:t>
      </w:r>
      <w:r w:rsidR="00DC1BF2" w:rsidRPr="00C64365">
        <w:rPr>
          <w:rFonts w:ascii="Calibri" w:hAnsi="Calibri"/>
          <w:lang w:val="ru-RU"/>
        </w:rPr>
        <w:t xml:space="preserve"> </w:t>
      </w:r>
      <w:r w:rsidRPr="00C64365">
        <w:rPr>
          <w:rFonts w:ascii="Calibri" w:hAnsi="Calibri"/>
          <w:lang w:val="ru-RU"/>
        </w:rPr>
        <w:t>у</w:t>
      </w:r>
      <w:r w:rsidR="00DC1BF2" w:rsidRPr="00C64365">
        <w:rPr>
          <w:rFonts w:ascii="Calibri" w:hAnsi="Calibri"/>
          <w:lang w:val="ru-RU"/>
        </w:rPr>
        <w:t xml:space="preserve"> </w:t>
      </w:r>
      <w:r w:rsidRPr="00C64365">
        <w:rPr>
          <w:rFonts w:ascii="Calibri" w:hAnsi="Calibri"/>
          <w:lang w:val="ru-RU"/>
        </w:rPr>
        <w:t>текућим</w:t>
      </w:r>
      <w:r w:rsidR="00DC1BF2" w:rsidRPr="00C64365">
        <w:rPr>
          <w:rFonts w:ascii="Calibri" w:hAnsi="Calibri"/>
          <w:lang w:val="ru-RU"/>
        </w:rPr>
        <w:t xml:space="preserve"> </w:t>
      </w:r>
      <w:r w:rsidRPr="00C64365">
        <w:rPr>
          <w:rFonts w:ascii="Calibri" w:hAnsi="Calibri"/>
          <w:lang w:val="ru-RU"/>
        </w:rPr>
        <w:t>ценама</w:t>
      </w:r>
      <w:r w:rsidR="00DC1BF2" w:rsidRPr="00635DB1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Као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дефлатор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користи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произвођача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пољопривреде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рибарства</w:t>
      </w:r>
      <w:r w:rsidR="00DC1BF2" w:rsidRPr="007B1E3E">
        <w:rPr>
          <w:rFonts w:ascii="Calibri" w:hAnsi="Calibri"/>
          <w:lang w:val="sr-Latn-CS"/>
        </w:rPr>
        <w:t>.</w:t>
      </w:r>
    </w:p>
    <w:p w:rsidR="00DD5E88" w:rsidRPr="00A919EA" w:rsidRDefault="00C64365" w:rsidP="00EB2119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i/>
          <w:lang w:val="sr-Latn-CS"/>
        </w:rPr>
        <w:t>Инвестиције</w:t>
      </w:r>
      <w:r w:rsidR="000B06DF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0B06DF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интелектуалну</w:t>
      </w:r>
      <w:r w:rsidR="00DC1BF2" w:rsidRP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својину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обрачунавају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9A494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0B06DF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DD5E88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одговарајућим</w:t>
      </w:r>
      <w:r w:rsidR="00DD5E88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композитним</w:t>
      </w:r>
      <w:r w:rsidR="00DD5E88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индексима</w:t>
      </w:r>
      <w:r w:rsidR="00DD5E88" w:rsidRPr="00A919E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DD5E88" w:rsidRPr="00A919EA">
        <w:rPr>
          <w:rFonts w:ascii="Calibri" w:hAnsi="Calibri"/>
          <w:lang w:val="sr-Latn-CS"/>
        </w:rPr>
        <w:t xml:space="preserve">:  </w:t>
      </w:r>
    </w:p>
    <w:p w:rsidR="00DD5E88" w:rsidRPr="00635DB1" w:rsidRDefault="00C64365" w:rsidP="009A4944">
      <w:pPr>
        <w:numPr>
          <w:ilvl w:val="0"/>
          <w:numId w:val="31"/>
        </w:numPr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композитни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9A494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9A494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9A494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9A494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9A494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822474" w:rsidRPr="00635DB1">
        <w:rPr>
          <w:rFonts w:ascii="Calibri" w:hAnsi="Calibri"/>
          <w:lang w:val="sr-Latn-CS"/>
        </w:rPr>
        <w:t>,</w:t>
      </w:r>
      <w:r w:rsidR="00DC1BF2" w:rsidRPr="00635DB1">
        <w:rPr>
          <w:rFonts w:ascii="Calibri" w:hAnsi="Calibri"/>
          <w:lang w:val="sr-Latn-CS"/>
        </w:rPr>
        <w:t xml:space="preserve"> </w:t>
      </w:r>
    </w:p>
    <w:p w:rsidR="00DD5E88" w:rsidRPr="00635DB1" w:rsidRDefault="00C64365" w:rsidP="009A4944">
      <w:pPr>
        <w:numPr>
          <w:ilvl w:val="0"/>
          <w:numId w:val="31"/>
        </w:numPr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композитни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рачунарске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програме</w:t>
      </w:r>
      <w:r w:rsidR="00822474" w:rsidRPr="00635DB1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софтвер</w:t>
      </w:r>
      <w:r w:rsidR="00822474" w:rsidRPr="00635DB1">
        <w:rPr>
          <w:rFonts w:ascii="Calibri" w:hAnsi="Calibri"/>
          <w:lang w:val="sr-Latn-CS"/>
        </w:rPr>
        <w:t>)</w:t>
      </w:r>
      <w:r w:rsidR="005D375C">
        <w:rPr>
          <w:rFonts w:ascii="Calibri" w:hAnsi="Calibri"/>
          <w:lang w:val="sr-Latn-CS"/>
        </w:rPr>
        <w:t>,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DC1BF2" w:rsidRPr="00635DB1">
        <w:rPr>
          <w:rFonts w:ascii="Calibri" w:hAnsi="Calibri"/>
          <w:lang w:val="sr-Latn-CS"/>
        </w:rPr>
        <w:t xml:space="preserve"> </w:t>
      </w:r>
    </w:p>
    <w:p w:rsidR="00DC1BF2" w:rsidRPr="00635DB1" w:rsidRDefault="00C64365" w:rsidP="00E73EFA">
      <w:pPr>
        <w:numPr>
          <w:ilvl w:val="0"/>
          <w:numId w:val="31"/>
        </w:numPr>
        <w:spacing w:after="1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композитни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DC1BF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интелектуалну</w:t>
      </w:r>
      <w:r w:rsidR="00822474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својину</w:t>
      </w:r>
      <w:r w:rsidR="005D375C">
        <w:rPr>
          <w:rFonts w:ascii="Calibri" w:hAnsi="Calibri"/>
          <w:lang w:val="sr-Latn-CS"/>
        </w:rPr>
        <w:t>,</w:t>
      </w:r>
      <w:r w:rsidR="007B1E3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искључујући</w:t>
      </w:r>
      <w:r w:rsidR="007B1E3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</w:t>
      </w:r>
      <w:r w:rsidR="007B1E3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B1E3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7B1E3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B1E3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7B1E3E">
        <w:rPr>
          <w:rFonts w:ascii="Calibri" w:hAnsi="Calibri"/>
          <w:lang w:val="sr-Latn-CS"/>
        </w:rPr>
        <w:t>.</w:t>
      </w:r>
    </w:p>
    <w:p w:rsidR="0021222F" w:rsidRPr="00E42B46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i/>
          <w:lang w:val="sr-Latn-CS"/>
        </w:rPr>
        <w:t>Инвестиције</w:t>
      </w:r>
      <w:r w:rsidR="0021222F" w:rsidRPr="00E42B46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21222F" w:rsidRPr="00E42B46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истраживање</w:t>
      </w:r>
      <w:r w:rsidR="0021222F" w:rsidRPr="00E42B46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</w:t>
      </w:r>
      <w:r w:rsidR="0021222F" w:rsidRPr="00E42B46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развој</w:t>
      </w:r>
      <w:r w:rsidR="0021222F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21222F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21222F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21222F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обрачунавају</w:t>
      </w:r>
      <w:r w:rsidR="0021222F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7A2B23" w:rsidRPr="00E42B46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Имајући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виду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улагања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lastRenderedPageBreak/>
        <w:t>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обухватају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сировина</w:t>
      </w:r>
      <w:r w:rsidR="007A2B23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енергије</w:t>
      </w:r>
      <w:r w:rsidR="007A2B23" w:rsidRPr="00E42B46">
        <w:rPr>
          <w:rFonts w:ascii="Calibri" w:hAnsi="Calibri"/>
          <w:lang w:val="sr-Latn-CS"/>
        </w:rPr>
        <w:t>,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издатке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машине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опрему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5A771B" w:rsidRPr="00E42B46">
        <w:rPr>
          <w:rFonts w:ascii="Calibri" w:hAnsi="Calibri"/>
          <w:lang w:val="sr-Latn-CS"/>
        </w:rPr>
        <w:t xml:space="preserve"> </w:t>
      </w:r>
      <w:r w:rsidR="009A500D">
        <w:rPr>
          <w:rFonts w:ascii="Calibri" w:hAnsi="Calibri"/>
          <w:lang w:val="sr-Latn-CS"/>
        </w:rPr>
        <w:t>друг</w:t>
      </w:r>
      <w:r w:rsidR="009A500D">
        <w:rPr>
          <w:rFonts w:ascii="Calibri" w:hAnsi="Calibri"/>
          <w:lang w:val="sr-Cyrl-RS"/>
        </w:rPr>
        <w:t>а</w:t>
      </w:r>
      <w:r w:rsidR="005A771B" w:rsidRPr="00E42B46">
        <w:rPr>
          <w:rFonts w:ascii="Calibri" w:hAnsi="Calibri"/>
          <w:lang w:val="sr-Latn-CS"/>
        </w:rPr>
        <w:t xml:space="preserve"> </w:t>
      </w:r>
      <w:r w:rsidR="009A500D">
        <w:rPr>
          <w:rFonts w:ascii="Calibri" w:hAnsi="Calibri"/>
          <w:lang w:val="sr-Latn-CS"/>
        </w:rPr>
        <w:t>основн</w:t>
      </w:r>
      <w:r w:rsidR="009A500D">
        <w:rPr>
          <w:rFonts w:ascii="Calibri" w:hAnsi="Calibri"/>
          <w:lang w:val="sr-Cyrl-RS"/>
        </w:rPr>
        <w:t>а</w:t>
      </w:r>
      <w:r w:rsidR="005A771B" w:rsidRPr="00E42B46">
        <w:rPr>
          <w:rFonts w:ascii="Calibri" w:hAnsi="Calibri"/>
          <w:lang w:val="sr-Latn-CS"/>
        </w:rPr>
        <w:t xml:space="preserve"> </w:t>
      </w:r>
      <w:r w:rsidR="009A500D">
        <w:rPr>
          <w:rFonts w:ascii="Calibri" w:hAnsi="Calibri"/>
          <w:lang w:val="sr-Cyrl-RS"/>
        </w:rPr>
        <w:t>средства</w:t>
      </w:r>
      <w:r w:rsidR="007A2B23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зараде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запослених</w:t>
      </w:r>
      <w:r w:rsidR="001A4A01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као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многе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друге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издатке</w:t>
      </w:r>
      <w:r w:rsidR="007A2B23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дефлатор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7A2B23" w:rsidRPr="00E42B46">
        <w:rPr>
          <w:rFonts w:ascii="Calibri" w:hAnsi="Calibri"/>
          <w:lang w:val="sr-Latn-CS"/>
        </w:rPr>
        <w:t xml:space="preserve"> </w:t>
      </w:r>
      <w:r w:rsidR="00D31BC6" w:rsidRPr="003E611D">
        <w:rPr>
          <w:rFonts w:ascii="Calibri" w:hAnsi="Calibri"/>
          <w:lang w:val="sr-Latn-CS"/>
        </w:rPr>
        <w:t>(</w:t>
      </w:r>
      <w:r w:rsidR="00893AFF">
        <w:rPr>
          <w:rFonts w:ascii="Calibri" w:hAnsi="Calibri"/>
          <w:lang w:val="sr-Cyrl-CS"/>
        </w:rPr>
        <w:t>к</w:t>
      </w:r>
      <w:r>
        <w:rPr>
          <w:rFonts w:ascii="Calibri" w:hAnsi="Calibri"/>
          <w:lang w:val="sr-Latn-CS"/>
        </w:rPr>
        <w:t>омпозитни</w:t>
      </w:r>
      <w:r w:rsidR="007A2B23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7A2B23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7A2B23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7A2B23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7A2B23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3E611D" w:rsidRPr="003E611D">
        <w:rPr>
          <w:rFonts w:ascii="Calibri" w:hAnsi="Calibri"/>
          <w:lang w:val="sr-Latn-CS"/>
        </w:rPr>
        <w:t>)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као</w:t>
      </w:r>
      <w:r w:rsidR="007558CE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пондерисани</w:t>
      </w:r>
      <w:r w:rsidR="007558CE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просек</w:t>
      </w:r>
      <w:r w:rsidR="007558CE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одговарајућих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произвођача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индустријских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тржиште</w:t>
      </w:r>
      <w:r w:rsidR="007A2B23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индекса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потрошачких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1A4A01" w:rsidRPr="00E42B46">
        <w:rPr>
          <w:rFonts w:ascii="Calibri" w:hAnsi="Calibri"/>
          <w:lang w:val="sr-Latn-CS"/>
        </w:rPr>
        <w:t>,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имплицитног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дефлатора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бруто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5A771B" w:rsidRPr="00E42B46">
        <w:rPr>
          <w:rFonts w:ascii="Calibri" w:hAnsi="Calibri"/>
          <w:lang w:val="sr-Latn-CS"/>
        </w:rPr>
        <w:t xml:space="preserve"> </w:t>
      </w:r>
      <w:r w:rsidR="009A500D">
        <w:rPr>
          <w:rFonts w:ascii="Calibri" w:hAnsi="Calibri"/>
          <w:lang w:val="sr-Latn-CS"/>
        </w:rPr>
        <w:t>основн</w:t>
      </w:r>
      <w:r w:rsidR="009A500D">
        <w:rPr>
          <w:rFonts w:ascii="Calibri" w:hAnsi="Calibri"/>
          <w:lang w:val="sr-Cyrl-RS"/>
        </w:rPr>
        <w:t>а</w:t>
      </w:r>
      <w:r w:rsidR="005A771B" w:rsidRPr="00E42B46">
        <w:rPr>
          <w:rFonts w:ascii="Calibri" w:hAnsi="Calibri"/>
          <w:lang w:val="sr-Latn-CS"/>
        </w:rPr>
        <w:t xml:space="preserve"> </w:t>
      </w:r>
      <w:r w:rsidR="009A500D">
        <w:rPr>
          <w:rFonts w:ascii="Calibri" w:hAnsi="Calibri"/>
          <w:lang w:val="sr-Cyrl-RS"/>
        </w:rPr>
        <w:t>средства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просечних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бруто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зарада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области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научног</w:t>
      </w:r>
      <w:r w:rsidR="00F40454" w:rsidRPr="00F404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1A4A01" w:rsidRPr="00F404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A4A01" w:rsidRPr="00F4045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развоја</w:t>
      </w:r>
      <w:r w:rsidR="001A4A01" w:rsidRPr="00F40454">
        <w:rPr>
          <w:rFonts w:ascii="Calibri" w:hAnsi="Calibri"/>
          <w:lang w:val="sr-Latn-CS"/>
        </w:rPr>
        <w:t>.</w:t>
      </w:r>
      <w:r w:rsidR="001A4A01" w:rsidRPr="00E42B46">
        <w:rPr>
          <w:rFonts w:ascii="Calibri" w:hAnsi="Calibri"/>
          <w:lang w:val="sr-Latn-CS"/>
        </w:rPr>
        <w:t xml:space="preserve"> </w:t>
      </w:r>
    </w:p>
    <w:p w:rsidR="007A2B23" w:rsidRPr="00E42B46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На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овај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начин</w:t>
      </w:r>
      <w:r w:rsidR="007A2B23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све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компоненте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трошкова</w:t>
      </w:r>
      <w:r w:rsidR="007A2B23" w:rsidRPr="00E42B46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материјални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трошкови</w:t>
      </w:r>
      <w:r w:rsidR="007A2B23" w:rsidRPr="00E42B46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инвестициони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накнаде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запосленима</w:t>
      </w:r>
      <w:r w:rsidR="007A2B23" w:rsidRPr="008E4CA5">
        <w:rPr>
          <w:rFonts w:ascii="Calibri" w:hAnsi="Calibri"/>
          <w:lang w:val="sr-Latn-CS"/>
        </w:rPr>
        <w:t xml:space="preserve">) </w:t>
      </w:r>
      <w:r>
        <w:rPr>
          <w:rFonts w:ascii="Calibri" w:hAnsi="Calibri"/>
          <w:lang w:val="sr-Latn-CS"/>
        </w:rPr>
        <w:t>узимају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обзир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сразмерно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њиховом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уделу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бруто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домаћим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издацима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4B27E9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4B27E9" w:rsidRPr="00E42B46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Пондери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добијају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података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</w:t>
      </w:r>
      <w:r w:rsidR="005A771B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Годишњи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извештај</w:t>
      </w:r>
      <w:r w:rsidR="001A4A0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развоју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893AFF">
        <w:rPr>
          <w:rFonts w:ascii="Calibri" w:hAnsi="Calibri"/>
          <w:lang w:val="sr-Latn-CS"/>
        </w:rPr>
        <w:t xml:space="preserve"> </w:t>
      </w:r>
      <w:r w:rsidR="00893AFF">
        <w:rPr>
          <w:rFonts w:ascii="Calibri" w:hAnsi="Calibri"/>
          <w:lang w:val="sr-Cyrl-CS"/>
        </w:rPr>
        <w:t>истраживања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Структуре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прихода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расхода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пословних</w:t>
      </w:r>
      <w:r w:rsidR="007A2B23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субјеката</w:t>
      </w:r>
      <w:r w:rsidR="007A2B23" w:rsidRPr="00E42B46">
        <w:rPr>
          <w:rFonts w:ascii="Calibri" w:hAnsi="Calibri"/>
          <w:lang w:val="sr-Latn-CS"/>
        </w:rPr>
        <w:t>.</w:t>
      </w:r>
    </w:p>
    <w:p w:rsidR="00F117C8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i/>
          <w:lang w:val="sr-Latn-CS"/>
        </w:rPr>
        <w:t>Инвестиције</w:t>
      </w:r>
      <w:r w:rsidR="00B822B1" w:rsidRPr="00E42B46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B822B1" w:rsidRPr="00E42B46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рачунарске</w:t>
      </w:r>
      <w:r w:rsidR="00B822B1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програме</w:t>
      </w:r>
      <w:r w:rsidR="00576DBB">
        <w:rPr>
          <w:rFonts w:ascii="Calibri" w:hAnsi="Calibri"/>
          <w:i/>
          <w:lang w:val="sr-Latn-CS"/>
        </w:rPr>
        <w:t xml:space="preserve"> (</w:t>
      </w:r>
      <w:r>
        <w:rPr>
          <w:rFonts w:ascii="Calibri" w:hAnsi="Calibri"/>
          <w:i/>
          <w:lang w:val="sr-Latn-CS"/>
        </w:rPr>
        <w:t>софтвер</w:t>
      </w:r>
      <w:r w:rsidR="00576DBB">
        <w:rPr>
          <w:rFonts w:ascii="Calibri" w:hAnsi="Calibri"/>
          <w:i/>
          <w:lang w:val="sr-Latn-CS"/>
        </w:rPr>
        <w:t>)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сталним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обрачунавају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дефлационирањем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B822B1" w:rsidRPr="00E42B46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B822B1" w:rsidRPr="00E42B46">
        <w:rPr>
          <w:rFonts w:ascii="Calibri" w:hAnsi="Calibri"/>
          <w:lang w:val="sr-Latn-CS"/>
        </w:rPr>
        <w:t>.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Укупна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улагања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рачунарске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програме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обухватају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инвестиције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набавку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софтвера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развијање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софтвера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сопствене</w:t>
      </w:r>
      <w:r w:rsid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протребе</w:t>
      </w:r>
      <w:r w:rsidR="008E4CA5">
        <w:rPr>
          <w:rFonts w:ascii="Calibri" w:hAnsi="Calibri"/>
          <w:lang w:val="sr-Latn-CS"/>
        </w:rPr>
        <w:t>.</w:t>
      </w:r>
      <w:r w:rsidR="00B822B1">
        <w:rPr>
          <w:rFonts w:ascii="Calibri" w:hAnsi="Calibri"/>
          <w:lang w:val="sr-Latn-CS"/>
        </w:rPr>
        <w:t xml:space="preserve"> </w:t>
      </w:r>
    </w:p>
    <w:p w:rsidR="00576DBB" w:rsidRPr="00953DA4" w:rsidRDefault="00C64365" w:rsidP="00DE6220">
      <w:pPr>
        <w:spacing w:after="120"/>
        <w:ind w:firstLine="720"/>
        <w:jc w:val="both"/>
        <w:rPr>
          <w:rFonts w:ascii="Calibri" w:hAnsi="Calibri" w:cs="Arial"/>
          <w:lang w:val="sr-Latn-CS"/>
        </w:rPr>
      </w:pPr>
      <w:r>
        <w:rPr>
          <w:rFonts w:ascii="Calibri" w:hAnsi="Calibri"/>
          <w:lang w:val="sr-Latn-CS"/>
        </w:rPr>
        <w:t>Као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дефлатор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набављене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софтвере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користи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произвођача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рачунарских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програма</w:t>
      </w:r>
      <w:r w:rsidR="008A6DA5" w:rsidRPr="00DE622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8A6DA5" w:rsidRPr="00DE622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САД</w:t>
      </w:r>
      <w:r w:rsidR="00F117C8" w:rsidRPr="00DE6220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коригован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променом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курса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долара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према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домаћој</w:t>
      </w:r>
      <w:r w:rsidR="00F117C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валути</w:t>
      </w:r>
      <w:r w:rsidR="008E4CA5">
        <w:rPr>
          <w:rFonts w:ascii="Calibri" w:hAnsi="Calibri"/>
          <w:lang w:val="sr-Latn-CS"/>
        </w:rPr>
        <w:t>.</w:t>
      </w:r>
      <w:r w:rsidR="00F117C8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Према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међународним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препорукама</w:t>
      </w:r>
      <w:r w:rsidR="005D375C">
        <w:rPr>
          <w:rFonts w:ascii="Calibri" w:hAnsi="Calibri"/>
          <w:lang w:val="sr-Latn-CS"/>
        </w:rPr>
        <w:t>,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овај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делатор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користи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због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доминантне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позиције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софтвера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САД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светском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тржишту</w:t>
      </w:r>
      <w:r w:rsidR="00DE6220" w:rsidRPr="00953DA4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чиме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обезбеђује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упоредивост</w:t>
      </w:r>
      <w:r w:rsidR="00DE6220" w:rsidRPr="00953DA4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података</w:t>
      </w:r>
      <w:r w:rsidR="00953DA4" w:rsidRPr="00953DA4">
        <w:rPr>
          <w:rFonts w:ascii="Calibri" w:hAnsi="Calibri"/>
          <w:lang w:val="sr-Cyrl-CS"/>
        </w:rPr>
        <w:t>.</w:t>
      </w:r>
    </w:p>
    <w:p w:rsidR="001F67FC" w:rsidRDefault="00C64365" w:rsidP="008E14FF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Дефлатор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произведен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сопствене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потребе</w:t>
      </w:r>
      <w:r w:rsidR="002D6892" w:rsidRPr="00576DBB">
        <w:rPr>
          <w:rFonts w:ascii="Calibri" w:hAnsi="Calibri"/>
          <w:lang w:val="sr-Latn-CS"/>
        </w:rPr>
        <w:t xml:space="preserve"> </w:t>
      </w:r>
      <w:r w:rsidR="003E611D">
        <w:rPr>
          <w:rFonts w:ascii="Calibri" w:hAnsi="Calibri"/>
          <w:lang w:val="sr-Latn-CS"/>
        </w:rPr>
        <w:t>(</w:t>
      </w:r>
      <w:r w:rsidR="00893AFF">
        <w:rPr>
          <w:rFonts w:ascii="Calibri" w:hAnsi="Calibri"/>
          <w:lang w:val="sr-Cyrl-CS"/>
        </w:rPr>
        <w:t>к</w:t>
      </w:r>
      <w:r>
        <w:rPr>
          <w:rFonts w:ascii="Calibri" w:hAnsi="Calibri"/>
          <w:lang w:val="sr-Latn-CS"/>
        </w:rPr>
        <w:t>омпозитни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</w:t>
      </w:r>
      <w:r w:rsidR="003E611D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произведен</w:t>
      </w:r>
      <w:r w:rsidR="002D6892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2D6892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сопствене</w:t>
      </w:r>
      <w:r w:rsidR="002D6892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потребе</w:t>
      </w:r>
      <w:r w:rsidR="003E611D">
        <w:rPr>
          <w:rFonts w:ascii="Calibri" w:hAnsi="Calibri"/>
          <w:lang w:val="sr-Latn-CS"/>
        </w:rPr>
        <w:t>)</w:t>
      </w:r>
      <w:r w:rsidR="002D6892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</w:t>
      </w:r>
      <w:r w:rsidR="001F67FC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1F67FC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пондерисањем</w:t>
      </w:r>
      <w:r w:rsidR="001F67FC" w:rsidRPr="008E14F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одговарајућих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потрошачких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просечних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бруто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зарада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области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рачунарског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програмирања</w:t>
      </w:r>
      <w:r w:rsidR="001F67FC" w:rsidRPr="00576DBB">
        <w:rPr>
          <w:rFonts w:ascii="Calibri" w:hAnsi="Calibri"/>
          <w:lang w:val="sr-Latn-CS"/>
        </w:rPr>
        <w:t xml:space="preserve">.  </w:t>
      </w:r>
      <w:r>
        <w:rPr>
          <w:rFonts w:ascii="Calibri" w:hAnsi="Calibri"/>
          <w:lang w:val="sr-Latn-CS"/>
        </w:rPr>
        <w:t>На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овај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начин</w:t>
      </w:r>
      <w:r w:rsidR="001F67FC" w:rsidRPr="00576DBB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све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компоненте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трошкова</w:t>
      </w:r>
      <w:r w:rsidR="001F67FC" w:rsidRPr="00576DBB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издаци</w:t>
      </w:r>
      <w:r w:rsidR="009A7B22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9A7B22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транспорт</w:t>
      </w:r>
      <w:r w:rsidR="00775C38" w:rsidRPr="00576DBB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енергију</w:t>
      </w:r>
      <w:r w:rsidR="001F67FC" w:rsidRPr="00576DBB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исхрану</w:t>
      </w:r>
      <w:r w:rsidR="001F67FC" w:rsidRPr="00576DBB">
        <w:rPr>
          <w:rFonts w:ascii="Calibri" w:hAnsi="Calibri"/>
          <w:lang w:val="sr-Latn-CS"/>
        </w:rPr>
        <w:t>,</w:t>
      </w:r>
      <w:r w:rsidR="00DE622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телефонске</w:t>
      </w:r>
      <w:r w:rsidR="00DE6220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услуге</w:t>
      </w:r>
      <w:r w:rsidR="00DE6220">
        <w:rPr>
          <w:rFonts w:ascii="Calibri" w:hAnsi="Calibri"/>
          <w:lang w:val="sr-Latn-CS"/>
        </w:rPr>
        <w:t>,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потрошњу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1F67FC" w:rsidRPr="00576DBB">
        <w:rPr>
          <w:rFonts w:ascii="Calibri" w:hAnsi="Calibri"/>
          <w:lang w:val="sr-Latn-CS"/>
        </w:rPr>
        <w:t xml:space="preserve"> </w:t>
      </w:r>
      <w:r w:rsidR="00196D7D">
        <w:rPr>
          <w:rFonts w:ascii="Calibri" w:hAnsi="Calibri"/>
          <w:lang w:val="sr-Cyrl-RS"/>
        </w:rPr>
        <w:t>средстава</w:t>
      </w:r>
      <w:r w:rsidR="001F67FC" w:rsidRPr="00576DBB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зараде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запослених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др</w:t>
      </w:r>
      <w:r w:rsidR="001F67FC" w:rsidRPr="00576DBB">
        <w:rPr>
          <w:rFonts w:ascii="Calibri" w:hAnsi="Calibri"/>
          <w:lang w:val="sr-Latn-CS"/>
        </w:rPr>
        <w:t xml:space="preserve">.) </w:t>
      </w:r>
      <w:r>
        <w:rPr>
          <w:rFonts w:ascii="Calibri" w:hAnsi="Calibri"/>
          <w:lang w:val="sr-Latn-CS"/>
        </w:rPr>
        <w:t>узимају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обзир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сразмерно</w:t>
      </w:r>
      <w:r w:rsidR="00775C38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њиховом</w:t>
      </w:r>
      <w:r w:rsidR="00775C38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учешћу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укупним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улагањима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сопствене</w:t>
      </w:r>
      <w:r w:rsidR="001F67FC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потребе</w:t>
      </w:r>
      <w:r w:rsidR="001F67FC" w:rsidRPr="00576DBB">
        <w:rPr>
          <w:rFonts w:ascii="Calibri" w:hAnsi="Calibri"/>
          <w:lang w:val="sr-Latn-CS"/>
        </w:rPr>
        <w:t xml:space="preserve">. </w:t>
      </w:r>
    </w:p>
    <w:p w:rsidR="008E4CA5" w:rsidRPr="00576DBB" w:rsidRDefault="00C64365" w:rsidP="008E4CA5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Дефлатор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рачунарске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програме</w:t>
      </w:r>
      <w:r w:rsidR="008E4CA5" w:rsidRPr="008E4CA5">
        <w:rPr>
          <w:rFonts w:ascii="Calibri" w:hAnsi="Calibri"/>
          <w:lang w:val="sr-Latn-CS"/>
        </w:rPr>
        <w:t xml:space="preserve"> (</w:t>
      </w:r>
      <w:r w:rsidR="00893AFF">
        <w:rPr>
          <w:rFonts w:ascii="Calibri" w:hAnsi="Calibri"/>
          <w:lang w:val="sr-Cyrl-CS"/>
        </w:rPr>
        <w:t>к</w:t>
      </w:r>
      <w:r>
        <w:rPr>
          <w:rFonts w:ascii="Calibri" w:hAnsi="Calibri"/>
          <w:lang w:val="sr-Latn-CS"/>
        </w:rPr>
        <w:t>омпозитни</w:t>
      </w:r>
      <w:r w:rsidR="008E4CA5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8E4CA5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8E4CA5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8E4CA5" w:rsidRP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софтвер</w:t>
      </w:r>
      <w:r w:rsidR="008E4CA5" w:rsidRPr="008E4CA5">
        <w:rPr>
          <w:rFonts w:ascii="Calibri" w:hAnsi="Calibri"/>
          <w:lang w:val="sr-Latn-CS"/>
        </w:rPr>
        <w:t>)</w:t>
      </w:r>
      <w:r w:rsidR="008E4CA5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</w:t>
      </w:r>
      <w:r w:rsidR="008E4CA5" w:rsidRP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8E4CA5" w:rsidRP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као</w:t>
      </w:r>
      <w:r w:rsidR="008E4CA5" w:rsidRP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пондерисани</w:t>
      </w:r>
      <w:r w:rsidR="008E4CA5" w:rsidRPr="00B822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просек</w:t>
      </w:r>
      <w:r w:rsidR="008E4CA5" w:rsidRPr="00F5096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горе</w:t>
      </w:r>
      <w:r w:rsidR="008E4CA5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наведених</w:t>
      </w:r>
      <w:r w:rsidR="008E4CA5" w:rsidRPr="00F5096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индекса</w:t>
      </w:r>
      <w:r w:rsidR="008E4CA5" w:rsidRPr="00F5096C">
        <w:rPr>
          <w:rFonts w:ascii="Calibri" w:hAnsi="Calibri"/>
          <w:lang w:val="sr-Latn-CS"/>
        </w:rPr>
        <w:t>.</w:t>
      </w:r>
      <w:r w:rsidR="008E4CA5">
        <w:rPr>
          <w:rFonts w:ascii="Calibri" w:hAnsi="Calibri"/>
          <w:lang w:val="sr-Latn-CS"/>
        </w:rPr>
        <w:t xml:space="preserve"> </w:t>
      </w:r>
    </w:p>
    <w:p w:rsidR="00DF7120" w:rsidRPr="00635DB1" w:rsidRDefault="00C64365" w:rsidP="00965837">
      <w:pPr>
        <w:spacing w:after="12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Полазна</w:t>
      </w:r>
      <w:r w:rsidR="001769AB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основа</w:t>
      </w:r>
      <w:r w:rsidR="001769AB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1769AB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израчунавање</w:t>
      </w:r>
      <w:r w:rsidR="001769AB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дефлатора</w:t>
      </w:r>
      <w:r w:rsidR="001769AB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1769AB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</w:t>
      </w:r>
      <w:r w:rsidR="001769AB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CS"/>
        </w:rPr>
        <w:t>реалног</w:t>
      </w:r>
      <w:r w:rsidR="001769AB" w:rsidRPr="00635DB1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раста</w:t>
      </w:r>
      <w:r w:rsidR="001769AB" w:rsidRPr="00635DB1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инвестиција</w:t>
      </w:r>
      <w:r w:rsidR="001769AB" w:rsidRPr="00635DB1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у</w:t>
      </w:r>
      <w:r w:rsidR="001769AB" w:rsidRPr="00635DB1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i/>
          <w:lang w:val="sr-Latn-CS"/>
        </w:rPr>
        <w:t>интелектуалну</w:t>
      </w:r>
      <w:r w:rsidR="001769AB" w:rsidRPr="00635DB1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својину</w:t>
      </w:r>
      <w:r w:rsidR="00814D12">
        <w:rPr>
          <w:rFonts w:ascii="Calibri" w:hAnsi="Calibri"/>
          <w:i/>
          <w:lang w:val="sr-Latn-CS"/>
        </w:rPr>
        <w:t xml:space="preserve">, </w:t>
      </w:r>
      <w:r>
        <w:rPr>
          <w:rFonts w:ascii="Calibri" w:hAnsi="Calibri"/>
          <w:i/>
          <w:lang w:val="sr-Latn-CS"/>
        </w:rPr>
        <w:t>осим</w:t>
      </w:r>
      <w:r w:rsidR="00814D12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софтвера</w:t>
      </w:r>
      <w:r w:rsidR="001769AB" w:rsidRPr="003365D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</w:t>
      </w:r>
      <w:r w:rsidR="001769AB" w:rsidRPr="003365D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истраживања</w:t>
      </w:r>
      <w:r w:rsidR="00077A39" w:rsidRPr="003365D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</w:t>
      </w:r>
      <w:r w:rsidR="00077A39" w:rsidRPr="003365D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развоја</w:t>
      </w:r>
      <w:r w:rsidR="001769AB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јесу</w:t>
      </w:r>
      <w:r w:rsidR="001769AB" w:rsidRPr="00576D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подаци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рударским</w:t>
      </w:r>
      <w:r w:rsidR="00127B22">
        <w:rPr>
          <w:rFonts w:ascii="Calibri" w:hAnsi="Calibri"/>
          <w:lang w:val="sr-Latn-CS"/>
        </w:rPr>
        <w:t xml:space="preserve"> </w:t>
      </w:r>
      <w:r w:rsidR="00127B22" w:rsidRPr="00127B22">
        <w:rPr>
          <w:rFonts w:ascii="Calibri" w:hAnsi="Calibri"/>
          <w:lang w:val="sr-Latn-CS"/>
        </w:rPr>
        <w:t>(</w:t>
      </w:r>
      <w:r>
        <w:rPr>
          <w:rFonts w:ascii="Calibri" w:hAnsi="Calibri"/>
          <w:lang w:val="sr-Latn-CS"/>
        </w:rPr>
        <w:t>минералним</w:t>
      </w:r>
      <w:r w:rsidR="00127B22" w:rsidRPr="00127B22">
        <w:rPr>
          <w:rFonts w:ascii="Calibri" w:hAnsi="Calibri"/>
          <w:lang w:val="sr-Latn-CS"/>
        </w:rPr>
        <w:t>)</w:t>
      </w:r>
      <w:r w:rsidR="00814D12" w:rsidRPr="00127B2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истраживањима</w:t>
      </w:r>
      <w:r w:rsidR="00814D12" w:rsidRPr="00127B22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забави</w:t>
      </w:r>
      <w:r w:rsidR="00814D12" w:rsidRPr="00EC7567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књижевним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уметничким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оригиналима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осталој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интелектуалној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својини</w:t>
      </w:r>
      <w:r w:rsidR="00814D12" w:rsidRPr="00EC756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истраживања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инвестицијама</w:t>
      </w:r>
      <w:r w:rsidR="001769AB" w:rsidRPr="00576DBB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Вредности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текућим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ове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катеогорије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основних</w:t>
      </w:r>
      <w:r w:rsidR="00814D12">
        <w:rPr>
          <w:rFonts w:ascii="Calibri" w:hAnsi="Calibri"/>
          <w:lang w:val="sr-Latn-CS"/>
        </w:rPr>
        <w:t xml:space="preserve"> </w:t>
      </w:r>
      <w:r w:rsidR="001A786C">
        <w:rPr>
          <w:rFonts w:ascii="Calibri" w:hAnsi="Calibri"/>
          <w:lang w:val="sr-Cyrl-RS"/>
        </w:rPr>
        <w:t>средстава</w:t>
      </w:r>
      <w:r w:rsidR="00B35D8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дефлационирају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одговарајућим</w:t>
      </w:r>
      <w:r w:rsid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пондерисаним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индексима</w:t>
      </w:r>
      <w:r w:rsidR="001769AB" w:rsidRP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B752DC" w:rsidRPr="00635DB1">
        <w:rPr>
          <w:rFonts w:ascii="Calibri" w:hAnsi="Calibri"/>
          <w:lang w:val="sr-Latn-CS"/>
        </w:rPr>
        <w:t xml:space="preserve">: </w:t>
      </w:r>
      <w:r>
        <w:rPr>
          <w:rFonts w:ascii="Calibri" w:hAnsi="Calibri"/>
          <w:lang w:val="sr-Latn-CS"/>
        </w:rPr>
        <w:t>композитни</w:t>
      </w:r>
      <w:r w:rsidR="00077A39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B752DC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B752DC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B752DC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истраживање</w:t>
      </w:r>
      <w:r w:rsidR="00077A39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077A39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развој</w:t>
      </w:r>
      <w:r w:rsidR="00B752DC" w:rsidRPr="00635DB1">
        <w:rPr>
          <w:rFonts w:ascii="Calibri" w:hAnsi="Calibri"/>
          <w:lang w:val="sr-Latn-CS"/>
        </w:rPr>
        <w:t>,</w:t>
      </w:r>
      <w:r w:rsidR="00077A39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потрошачких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824673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услуге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културе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824673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индекс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потрошачких</w:t>
      </w:r>
      <w:r w:rsidR="00077A39" w:rsidRPr="00C64D9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B752DC" w:rsidRPr="00C64D91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Пондери</w:t>
      </w:r>
      <w:r w:rsid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</w:t>
      </w:r>
      <w:r w:rsid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одређени</w:t>
      </w:r>
      <w:r w:rsidR="001769AB" w:rsidRP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учешћем</w:t>
      </w:r>
      <w:r w:rsidR="002A327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сваке</w:t>
      </w:r>
      <w:r w:rsidR="003365DA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групе</w:t>
      </w:r>
      <w:r w:rsidR="001769AB" w:rsidRP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производа</w:t>
      </w:r>
      <w:r w:rsidR="001769AB" w:rsidRP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1769AB" w:rsidRP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укупним</w:t>
      </w:r>
      <w:r w:rsidR="00441222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инвестицијама</w:t>
      </w:r>
      <w:r w:rsidR="001769AB" w:rsidRP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поменутог</w:t>
      </w:r>
      <w:r w:rsidR="002A3278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дела</w:t>
      </w:r>
      <w:r w:rsidR="001769AB" w:rsidRPr="00A171CE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интелектуалне</w:t>
      </w:r>
      <w:r w:rsidR="00B35D8A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својине</w:t>
      </w:r>
      <w:r w:rsidR="00D32153" w:rsidRPr="006910C2">
        <w:rPr>
          <w:rFonts w:ascii="Calibri" w:hAnsi="Calibri"/>
          <w:lang w:val="sr-Latn-CS"/>
        </w:rPr>
        <w:t>.</w:t>
      </w:r>
    </w:p>
    <w:p w:rsidR="00BF63B3" w:rsidRPr="00BF63B3" w:rsidRDefault="00C64365" w:rsidP="00FF4B8A">
      <w:pPr>
        <w:autoSpaceDE w:val="0"/>
        <w:autoSpaceDN w:val="0"/>
        <w:adjustRightInd w:val="0"/>
        <w:ind w:firstLine="720"/>
        <w:jc w:val="both"/>
        <w:rPr>
          <w:rFonts w:ascii="Calibri" w:hAnsi="Calibri"/>
          <w:lang w:val="sr-Latn-CS"/>
        </w:rPr>
      </w:pPr>
      <w:r>
        <w:rPr>
          <w:rFonts w:ascii="Calibri" w:hAnsi="Calibri"/>
          <w:i/>
          <w:lang w:val="sr-Latn-CS"/>
        </w:rPr>
        <w:lastRenderedPageBreak/>
        <w:t>Бруто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инвестиције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 w:rsidR="00585359">
        <w:rPr>
          <w:rFonts w:ascii="Calibri" w:hAnsi="Calibri"/>
          <w:i/>
          <w:lang w:val="sr-Latn-CS"/>
        </w:rPr>
        <w:t>основн</w:t>
      </w:r>
      <w:r w:rsidR="00585359">
        <w:rPr>
          <w:rFonts w:ascii="Calibri" w:hAnsi="Calibri"/>
          <w:i/>
          <w:lang w:val="sr-Cyrl-RS"/>
        </w:rPr>
        <w:t>а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 w:rsidR="00585359">
        <w:rPr>
          <w:rFonts w:ascii="Calibri" w:hAnsi="Calibri"/>
          <w:i/>
          <w:lang w:val="sr-Cyrl-RS"/>
        </w:rPr>
        <w:t>средства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у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сталним</w:t>
      </w:r>
      <w:r w:rsidR="00814D12" w:rsidRPr="00BD384A">
        <w:rPr>
          <w:rFonts w:ascii="Calibri" w:hAnsi="Calibri"/>
          <w:i/>
          <w:lang w:val="sr-Latn-CS"/>
        </w:rPr>
        <w:t xml:space="preserve"> </w:t>
      </w:r>
      <w:r>
        <w:rPr>
          <w:rFonts w:ascii="Calibri" w:hAnsi="Calibri"/>
          <w:i/>
          <w:lang w:val="sr-Latn-CS"/>
        </w:rPr>
        <w:t>ценама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добијају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814D12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сумирањем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овај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начин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обрачунатих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вредности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зграде</w:t>
      </w:r>
      <w:r w:rsidR="005D375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5D375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остале</w:t>
      </w:r>
      <w:r w:rsidR="005D375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грађевине</w:t>
      </w:r>
      <w:r w:rsidR="00035F0A" w:rsidRPr="007F1AC7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машине</w:t>
      </w:r>
      <w:r w:rsidR="0053217F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53217F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опрему</w:t>
      </w:r>
      <w:r w:rsidR="0053217F" w:rsidRPr="00635DB1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култивисане</w:t>
      </w:r>
      <w:r w:rsidR="0053217F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биолошке</w:t>
      </w:r>
      <w:r w:rsidR="0053217F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ресурсе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035F0A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интелектуалну</w:t>
      </w:r>
      <w:r w:rsidR="0053217F" w:rsidRPr="00635DB1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својину</w:t>
      </w:r>
      <w:r w:rsidR="00035F0A" w:rsidRPr="007F1AC7">
        <w:rPr>
          <w:rFonts w:ascii="Calibri" w:hAnsi="Calibri"/>
          <w:lang w:val="sr-Latn-CS"/>
        </w:rPr>
        <w:t>.</w:t>
      </w:r>
      <w:r w:rsidR="00085362" w:rsidRPr="007F1AC7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Добијена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серија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вредности</w:t>
      </w:r>
      <w:r w:rsidR="00225ABF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обрачунатих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претходне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може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користити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израчунавање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стопа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реалног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раста</w:t>
      </w:r>
      <w:r w:rsidR="00085362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јер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подаци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годинама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нису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упоредиви</w:t>
      </w:r>
      <w:r w:rsidR="00085362" w:rsidRPr="00BF63B3">
        <w:rPr>
          <w:rFonts w:ascii="Calibri" w:hAnsi="Calibri"/>
          <w:lang w:val="sr-Latn-CS"/>
        </w:rPr>
        <w:t xml:space="preserve"> (</w:t>
      </w:r>
      <w:r>
        <w:rPr>
          <w:rFonts w:ascii="Calibri" w:hAnsi="Calibri"/>
          <w:lang w:val="sr-Latn-CS"/>
        </w:rPr>
        <w:t>свака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вреднована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је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претходне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године</w:t>
      </w:r>
      <w:r w:rsidR="00085362" w:rsidRPr="00BF63B3">
        <w:rPr>
          <w:rFonts w:ascii="Calibri" w:hAnsi="Calibri"/>
          <w:lang w:val="sr-Latn-CS"/>
        </w:rPr>
        <w:t xml:space="preserve">). </w:t>
      </w:r>
      <w:r>
        <w:rPr>
          <w:rFonts w:ascii="Calibri" w:hAnsi="Calibri"/>
          <w:lang w:val="sr-Latn-CS"/>
        </w:rPr>
        <w:t>За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добијање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серије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упоредивих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података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примењује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метода</w:t>
      </w:r>
      <w:r w:rsidR="00BD384A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уланчавања</w:t>
      </w:r>
      <w:r w:rsidR="0008536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како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би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добиле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уланчане</w:t>
      </w:r>
      <w:r w:rsidR="00BD384A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мере</w:t>
      </w:r>
      <w:r w:rsidR="00BD384A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обима</w:t>
      </w:r>
      <w:r w:rsidR="00BD384A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бруто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инвестиција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C2701B" w:rsidRPr="00BF63B3">
        <w:rPr>
          <w:rFonts w:ascii="Calibri" w:hAnsi="Calibri"/>
          <w:lang w:val="sr-Latn-CS"/>
        </w:rPr>
        <w:t xml:space="preserve"> </w:t>
      </w:r>
      <w:r w:rsidR="00585359">
        <w:rPr>
          <w:rFonts w:ascii="Calibri" w:hAnsi="Calibri"/>
          <w:lang w:val="sr-Latn-CS"/>
        </w:rPr>
        <w:t>основн</w:t>
      </w:r>
      <w:r w:rsidR="00585359">
        <w:rPr>
          <w:rFonts w:ascii="Calibri" w:hAnsi="Calibri"/>
          <w:lang w:val="sr-Cyrl-RS"/>
        </w:rPr>
        <w:t>а</w:t>
      </w:r>
      <w:r w:rsidR="00C2701B" w:rsidRPr="00BF63B3">
        <w:rPr>
          <w:rFonts w:ascii="Calibri" w:hAnsi="Calibri"/>
          <w:lang w:val="sr-Latn-CS"/>
        </w:rPr>
        <w:t xml:space="preserve"> </w:t>
      </w:r>
      <w:r w:rsidR="00585359">
        <w:rPr>
          <w:rFonts w:ascii="Calibri" w:hAnsi="Calibri"/>
          <w:lang w:val="sr-Cyrl-RS"/>
        </w:rPr>
        <w:t>средства</w:t>
      </w:r>
      <w:r w:rsidR="00BD384A" w:rsidRPr="00BF63B3">
        <w:rPr>
          <w:rFonts w:ascii="Calibri" w:hAnsi="Calibri"/>
          <w:lang w:val="sr-Latn-CS"/>
        </w:rPr>
        <w:t>.</w:t>
      </w:r>
      <w:r w:rsidR="00C2701B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Од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децембра</w:t>
      </w:r>
      <w:r w:rsidR="00EE1302" w:rsidRPr="00BF63B3">
        <w:rPr>
          <w:rFonts w:ascii="Calibri" w:hAnsi="Calibri"/>
          <w:lang w:val="sr-Latn-CS"/>
        </w:rPr>
        <w:t xml:space="preserve"> 2013. </w:t>
      </w:r>
      <w:r>
        <w:rPr>
          <w:rFonts w:ascii="Calibri" w:hAnsi="Calibri"/>
          <w:lang w:val="sr-Latn-CS"/>
        </w:rPr>
        <w:t>године</w:t>
      </w:r>
      <w:r w:rsidR="00EE1302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према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препорукама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Евростата</w:t>
      </w:r>
      <w:r w:rsidR="00EE1302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као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референтна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година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за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уланчане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мере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обима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користи</w:t>
      </w:r>
      <w:r w:rsidR="00EE1302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EE1302" w:rsidRPr="00BF63B3">
        <w:rPr>
          <w:rFonts w:ascii="Calibri" w:hAnsi="Calibri"/>
          <w:lang w:val="sr-Latn-CS"/>
        </w:rPr>
        <w:t xml:space="preserve"> 2010. </w:t>
      </w:r>
      <w:r>
        <w:rPr>
          <w:rFonts w:ascii="Calibri" w:hAnsi="Calibri"/>
          <w:lang w:val="sr-Latn-CS"/>
        </w:rPr>
        <w:t>година</w:t>
      </w:r>
      <w:r w:rsidR="00EE1302" w:rsidRPr="00BF63B3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Услед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конвертовања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уланчаних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мера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обима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новчани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израз</w:t>
      </w:r>
      <w:r w:rsidR="006931DC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коришћењем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референтне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године</w:t>
      </w:r>
      <w:r w:rsidR="006931DC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јавља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проблем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неадитивности</w:t>
      </w:r>
      <w:r w:rsidR="006931DC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пошто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се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агрегати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не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могу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добити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сумирањем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елемената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који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их</w:t>
      </w:r>
      <w:r w:rsidR="006931DC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чине</w:t>
      </w:r>
      <w:r w:rsidR="006931DC" w:rsidRPr="00BF63B3">
        <w:rPr>
          <w:rFonts w:ascii="Calibri" w:hAnsi="Calibri"/>
          <w:lang w:val="sr-Latn-CS"/>
        </w:rPr>
        <w:t>.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Адитивност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постоји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искључиво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референтној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години</w:t>
      </w:r>
      <w:r w:rsidR="005D375C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години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после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референтне</w:t>
      </w:r>
      <w:r w:rsidR="00BF63B3" w:rsidRPr="00BF63B3">
        <w:rPr>
          <w:rFonts w:ascii="Calibri" w:hAnsi="Calibri"/>
          <w:lang w:val="sr-Latn-CS"/>
        </w:rPr>
        <w:t xml:space="preserve">, </w:t>
      </w:r>
      <w:r>
        <w:rPr>
          <w:rFonts w:ascii="Calibri" w:hAnsi="Calibri"/>
          <w:lang w:val="sr-Latn-CS"/>
        </w:rPr>
        <w:t>јер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су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елементи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Cyrl-CS"/>
        </w:rPr>
        <w:t>бруто</w:t>
      </w:r>
      <w:r w:rsidR="00FF4B8A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инвестиција</w:t>
      </w:r>
      <w:r w:rsidR="00FF4B8A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у</w:t>
      </w:r>
      <w:r w:rsidR="00FF4B8A">
        <w:rPr>
          <w:rFonts w:ascii="Calibri" w:hAnsi="Calibri"/>
          <w:lang w:val="sr-Cyrl-CS"/>
        </w:rPr>
        <w:t xml:space="preserve"> </w:t>
      </w:r>
      <w:r w:rsidR="00585359">
        <w:rPr>
          <w:rFonts w:ascii="Calibri" w:hAnsi="Calibri"/>
          <w:lang w:val="sr-Cyrl-CS"/>
        </w:rPr>
        <w:t>основна</w:t>
      </w:r>
      <w:r w:rsidR="00FF4B8A">
        <w:rPr>
          <w:rFonts w:ascii="Calibri" w:hAnsi="Calibri"/>
          <w:lang w:val="sr-Cyrl-CS"/>
        </w:rPr>
        <w:t xml:space="preserve"> </w:t>
      </w:r>
      <w:r w:rsidR="00585359">
        <w:rPr>
          <w:rFonts w:ascii="Calibri" w:hAnsi="Calibri"/>
          <w:lang w:val="sr-Cyrl-CS"/>
        </w:rPr>
        <w:t>средства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у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тим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годинама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вредновани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истим</w:t>
      </w:r>
      <w:r w:rsidR="00BF63B3" w:rsidRPr="00BF63B3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ценама</w:t>
      </w:r>
      <w:r w:rsidR="00BF63B3" w:rsidRPr="00BF63B3">
        <w:rPr>
          <w:rFonts w:ascii="Calibri" w:hAnsi="Calibri"/>
          <w:lang w:val="sr-Latn-CS"/>
        </w:rPr>
        <w:t xml:space="preserve">. </w:t>
      </w:r>
    </w:p>
    <w:p w:rsidR="006931DC" w:rsidRPr="00BF63B3" w:rsidRDefault="006931DC" w:rsidP="00EE1302">
      <w:pPr>
        <w:autoSpaceDE w:val="0"/>
        <w:autoSpaceDN w:val="0"/>
        <w:adjustRightInd w:val="0"/>
        <w:ind w:firstLine="720"/>
        <w:jc w:val="both"/>
        <w:rPr>
          <w:rFonts w:ascii="Calibri" w:hAnsi="Calibri"/>
          <w:lang w:val="sr-Latn-CS"/>
        </w:rPr>
      </w:pPr>
    </w:p>
    <w:p w:rsidR="009E74A0" w:rsidRPr="00635DB1" w:rsidRDefault="009E74A0" w:rsidP="00EE1302">
      <w:pPr>
        <w:jc w:val="both"/>
        <w:rPr>
          <w:rFonts w:ascii="Calibri" w:hAnsi="Calibri"/>
          <w:lang w:val="sr-Latn-CS"/>
        </w:rPr>
      </w:pPr>
    </w:p>
    <w:p w:rsidR="009E74A0" w:rsidRPr="00635DB1" w:rsidRDefault="009E74A0" w:rsidP="00AD443C">
      <w:pPr>
        <w:jc w:val="both"/>
        <w:rPr>
          <w:rFonts w:ascii="Calibri" w:hAnsi="Calibri"/>
          <w:lang w:val="sr-Latn-CS"/>
        </w:rPr>
      </w:pPr>
    </w:p>
    <w:p w:rsidR="0070457C" w:rsidRPr="00635DB1" w:rsidRDefault="0070457C" w:rsidP="009E74A0">
      <w:pPr>
        <w:rPr>
          <w:rFonts w:ascii="Calibri" w:hAnsi="Calibri"/>
          <w:lang w:val="sr-Latn-CS"/>
        </w:rPr>
      </w:pPr>
    </w:p>
    <w:p w:rsidR="0070457C" w:rsidRPr="00635DB1" w:rsidRDefault="0070457C" w:rsidP="009E74A0">
      <w:pPr>
        <w:rPr>
          <w:rFonts w:ascii="Calibri" w:hAnsi="Calibri"/>
          <w:lang w:val="sr-Latn-CS"/>
        </w:rPr>
      </w:pPr>
    </w:p>
    <w:p w:rsidR="0070457C" w:rsidRPr="00635DB1" w:rsidRDefault="0070457C" w:rsidP="009E74A0">
      <w:pPr>
        <w:rPr>
          <w:rFonts w:ascii="Calibri" w:hAnsi="Calibri"/>
          <w:lang w:val="sr-Latn-CS"/>
        </w:rPr>
      </w:pPr>
    </w:p>
    <w:p w:rsidR="0070457C" w:rsidRPr="00635DB1" w:rsidRDefault="0070457C" w:rsidP="009E74A0">
      <w:pPr>
        <w:rPr>
          <w:rFonts w:ascii="Calibri" w:hAnsi="Calibri"/>
          <w:lang w:val="sr-Latn-CS"/>
        </w:rPr>
      </w:pPr>
    </w:p>
    <w:sectPr w:rsidR="0070457C" w:rsidRPr="00635DB1" w:rsidSect="005F7EB3">
      <w:pgSz w:w="12240" w:h="15840"/>
      <w:pgMar w:top="1440" w:right="171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E2" w:rsidRDefault="000006E2">
      <w:r>
        <w:separator/>
      </w:r>
    </w:p>
  </w:endnote>
  <w:endnote w:type="continuationSeparator" w:id="0">
    <w:p w:rsidR="000006E2" w:rsidRDefault="0000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SemiC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E2" w:rsidRDefault="000006E2">
      <w:r>
        <w:separator/>
      </w:r>
    </w:p>
  </w:footnote>
  <w:footnote w:type="continuationSeparator" w:id="0">
    <w:p w:rsidR="000006E2" w:rsidRDefault="0000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A8"/>
    <w:multiLevelType w:val="hybridMultilevel"/>
    <w:tmpl w:val="0506F232"/>
    <w:lvl w:ilvl="0" w:tplc="E46CBF2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07836EFB"/>
    <w:multiLevelType w:val="hybridMultilevel"/>
    <w:tmpl w:val="E4A084CE"/>
    <w:lvl w:ilvl="0" w:tplc="04090003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1A09"/>
    <w:multiLevelType w:val="multilevel"/>
    <w:tmpl w:val="02CA39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A31A9B"/>
    <w:multiLevelType w:val="multilevel"/>
    <w:tmpl w:val="08F062C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1A5A9D"/>
    <w:multiLevelType w:val="hybridMultilevel"/>
    <w:tmpl w:val="05BEBB2A"/>
    <w:lvl w:ilvl="0" w:tplc="F886BE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1773AF"/>
    <w:multiLevelType w:val="hybridMultilevel"/>
    <w:tmpl w:val="02CA39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E64BE3"/>
    <w:multiLevelType w:val="hybridMultilevel"/>
    <w:tmpl w:val="27B23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61"/>
    <w:multiLevelType w:val="hybridMultilevel"/>
    <w:tmpl w:val="8E96A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8868A4"/>
    <w:multiLevelType w:val="hybridMultilevel"/>
    <w:tmpl w:val="559E1936"/>
    <w:lvl w:ilvl="0" w:tplc="56BE3D82">
      <w:start w:val="107"/>
      <w:numFmt w:val="bullet"/>
      <w:lvlText w:val="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18"/>
      </w:rPr>
    </w:lvl>
    <w:lvl w:ilvl="1" w:tplc="D27C97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6F89"/>
    <w:multiLevelType w:val="hybridMultilevel"/>
    <w:tmpl w:val="5E0A2D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21C6"/>
    <w:multiLevelType w:val="hybridMultilevel"/>
    <w:tmpl w:val="EF74F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</w:rPr>
    </w:lvl>
    <w:lvl w:ilvl="1" w:tplc="D27C97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306"/>
    <w:multiLevelType w:val="hybridMultilevel"/>
    <w:tmpl w:val="BE22CA92"/>
    <w:lvl w:ilvl="0" w:tplc="8202E4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5D0"/>
    <w:multiLevelType w:val="hybridMultilevel"/>
    <w:tmpl w:val="FA0C3306"/>
    <w:lvl w:ilvl="0" w:tplc="453097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A4D054E"/>
    <w:multiLevelType w:val="hybridMultilevel"/>
    <w:tmpl w:val="48A41EF4"/>
    <w:lvl w:ilvl="0" w:tplc="758E32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109EFC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39F4"/>
    <w:multiLevelType w:val="hybridMultilevel"/>
    <w:tmpl w:val="041AB440"/>
    <w:lvl w:ilvl="0" w:tplc="E46CBF2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0D18"/>
    <w:multiLevelType w:val="hybridMultilevel"/>
    <w:tmpl w:val="08F062C4"/>
    <w:lvl w:ilvl="0" w:tplc="AC2A386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8C6C70"/>
    <w:multiLevelType w:val="multilevel"/>
    <w:tmpl w:val="02CA39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4305345"/>
    <w:multiLevelType w:val="hybridMultilevel"/>
    <w:tmpl w:val="91D4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F2BF4"/>
    <w:multiLevelType w:val="multilevel"/>
    <w:tmpl w:val="22A8D7BC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AA1964"/>
    <w:multiLevelType w:val="hybridMultilevel"/>
    <w:tmpl w:val="9B3EFF0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B1A11"/>
    <w:multiLevelType w:val="hybridMultilevel"/>
    <w:tmpl w:val="6D0E2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E8088B"/>
    <w:multiLevelType w:val="hybridMultilevel"/>
    <w:tmpl w:val="BB646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26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80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22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D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87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64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06B0"/>
    <w:multiLevelType w:val="hybridMultilevel"/>
    <w:tmpl w:val="995E56E4"/>
    <w:lvl w:ilvl="0" w:tplc="04090003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F1A16"/>
    <w:multiLevelType w:val="hybridMultilevel"/>
    <w:tmpl w:val="C548CE86"/>
    <w:lvl w:ilvl="0" w:tplc="F886B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06184"/>
    <w:multiLevelType w:val="hybridMultilevel"/>
    <w:tmpl w:val="B33A4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3A1BEC"/>
    <w:multiLevelType w:val="hybridMultilevel"/>
    <w:tmpl w:val="CB947760"/>
    <w:lvl w:ilvl="0" w:tplc="F886BE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0F3DF9"/>
    <w:multiLevelType w:val="hybridMultilevel"/>
    <w:tmpl w:val="5B4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52F92"/>
    <w:multiLevelType w:val="multilevel"/>
    <w:tmpl w:val="484E3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3306838"/>
    <w:multiLevelType w:val="hybridMultilevel"/>
    <w:tmpl w:val="CE0E7DD8"/>
    <w:lvl w:ilvl="0">
      <w:start w:val="1"/>
      <w:numFmt w:val="bullet"/>
      <w:lvlText w:val="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47A6825"/>
    <w:multiLevelType w:val="multilevel"/>
    <w:tmpl w:val="9B3EFF0A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053EC"/>
    <w:multiLevelType w:val="hybridMultilevel"/>
    <w:tmpl w:val="A668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86376"/>
    <w:multiLevelType w:val="hybridMultilevel"/>
    <w:tmpl w:val="08E80D92"/>
    <w:lvl w:ilvl="0" w:tplc="04090003">
      <w:start w:val="1"/>
      <w:numFmt w:val="bullet"/>
      <w:lvlText w:val=""/>
      <w:lvlJc w:val="left"/>
      <w:pPr>
        <w:tabs>
          <w:tab w:val="num" w:pos="1344"/>
        </w:tabs>
        <w:ind w:left="1344" w:hanging="264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F246C5"/>
    <w:multiLevelType w:val="multilevel"/>
    <w:tmpl w:val="CE0E7DD8"/>
    <w:lvl w:ilvl="0">
      <w:start w:val="1"/>
      <w:numFmt w:val="bullet"/>
      <w:lvlText w:val="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08F62C5"/>
    <w:multiLevelType w:val="hybridMultilevel"/>
    <w:tmpl w:val="FCF4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127298"/>
    <w:multiLevelType w:val="hybridMultilevel"/>
    <w:tmpl w:val="22A8D7BC"/>
    <w:lvl w:ilvl="0" w:tplc="9F061CF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30E23A9"/>
    <w:multiLevelType w:val="hybridMultilevel"/>
    <w:tmpl w:val="5E1001A2"/>
    <w:lvl w:ilvl="0" w:tplc="37A28C4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73B6D0F"/>
    <w:multiLevelType w:val="hybridMultilevel"/>
    <w:tmpl w:val="734EF12E"/>
    <w:lvl w:ilvl="0" w:tplc="0409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4B4A14"/>
    <w:multiLevelType w:val="hybridMultilevel"/>
    <w:tmpl w:val="089483FA"/>
    <w:lvl w:ilvl="0" w:tplc="BCF81C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 w:tplc="0A02592E">
      <w:start w:val="1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5"/>
  </w:num>
  <w:num w:numId="4">
    <w:abstractNumId w:val="14"/>
  </w:num>
  <w:num w:numId="5">
    <w:abstractNumId w:val="19"/>
  </w:num>
  <w:num w:numId="6">
    <w:abstractNumId w:val="29"/>
  </w:num>
  <w:num w:numId="7">
    <w:abstractNumId w:val="5"/>
  </w:num>
  <w:num w:numId="8">
    <w:abstractNumId w:val="16"/>
  </w:num>
  <w:num w:numId="9">
    <w:abstractNumId w:val="28"/>
  </w:num>
  <w:num w:numId="10">
    <w:abstractNumId w:val="32"/>
  </w:num>
  <w:num w:numId="11">
    <w:abstractNumId w:val="15"/>
  </w:num>
  <w:num w:numId="12">
    <w:abstractNumId w:val="3"/>
  </w:num>
  <w:num w:numId="13">
    <w:abstractNumId w:val="34"/>
  </w:num>
  <w:num w:numId="14">
    <w:abstractNumId w:val="18"/>
  </w:num>
  <w:num w:numId="15">
    <w:abstractNumId w:val="36"/>
  </w:num>
  <w:num w:numId="16">
    <w:abstractNumId w:val="2"/>
  </w:num>
  <w:num w:numId="17">
    <w:abstractNumId w:val="37"/>
  </w:num>
  <w:num w:numId="18">
    <w:abstractNumId w:val="27"/>
  </w:num>
  <w:num w:numId="19">
    <w:abstractNumId w:val="12"/>
  </w:num>
  <w:num w:numId="20">
    <w:abstractNumId w:val="13"/>
  </w:num>
  <w:num w:numId="21">
    <w:abstractNumId w:val="0"/>
  </w:num>
  <w:num w:numId="22">
    <w:abstractNumId w:val="6"/>
  </w:num>
  <w:num w:numId="23">
    <w:abstractNumId w:val="11"/>
  </w:num>
  <w:num w:numId="24">
    <w:abstractNumId w:val="23"/>
  </w:num>
  <w:num w:numId="25">
    <w:abstractNumId w:val="21"/>
  </w:num>
  <w:num w:numId="26">
    <w:abstractNumId w:val="22"/>
  </w:num>
  <w:num w:numId="27">
    <w:abstractNumId w:val="30"/>
  </w:num>
  <w:num w:numId="28">
    <w:abstractNumId w:val="1"/>
  </w:num>
  <w:num w:numId="29">
    <w:abstractNumId w:val="10"/>
  </w:num>
  <w:num w:numId="30">
    <w:abstractNumId w:val="31"/>
  </w:num>
  <w:num w:numId="31">
    <w:abstractNumId w:val="4"/>
  </w:num>
  <w:num w:numId="32">
    <w:abstractNumId w:val="25"/>
  </w:num>
  <w:num w:numId="33">
    <w:abstractNumId w:val="26"/>
  </w:num>
  <w:num w:numId="34">
    <w:abstractNumId w:val="17"/>
  </w:num>
  <w:num w:numId="35">
    <w:abstractNumId w:val="7"/>
  </w:num>
  <w:num w:numId="36">
    <w:abstractNumId w:val="20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E"/>
    <w:rsid w:val="000000F9"/>
    <w:rsid w:val="00000577"/>
    <w:rsid w:val="000006E2"/>
    <w:rsid w:val="00000F2B"/>
    <w:rsid w:val="00002EB3"/>
    <w:rsid w:val="00003A04"/>
    <w:rsid w:val="000103A1"/>
    <w:rsid w:val="00011B3A"/>
    <w:rsid w:val="00011E49"/>
    <w:rsid w:val="000134D6"/>
    <w:rsid w:val="000168BA"/>
    <w:rsid w:val="000237D5"/>
    <w:rsid w:val="00025981"/>
    <w:rsid w:val="00027D2B"/>
    <w:rsid w:val="00032155"/>
    <w:rsid w:val="00035F0A"/>
    <w:rsid w:val="00037683"/>
    <w:rsid w:val="000458C8"/>
    <w:rsid w:val="0004711D"/>
    <w:rsid w:val="00050D79"/>
    <w:rsid w:val="00050F07"/>
    <w:rsid w:val="0005194C"/>
    <w:rsid w:val="00052B8C"/>
    <w:rsid w:val="000540F7"/>
    <w:rsid w:val="00057767"/>
    <w:rsid w:val="000614AB"/>
    <w:rsid w:val="000614BD"/>
    <w:rsid w:val="00064E00"/>
    <w:rsid w:val="00066540"/>
    <w:rsid w:val="00071EC3"/>
    <w:rsid w:val="0007241B"/>
    <w:rsid w:val="0007270A"/>
    <w:rsid w:val="00074671"/>
    <w:rsid w:val="00075966"/>
    <w:rsid w:val="00076421"/>
    <w:rsid w:val="0007671C"/>
    <w:rsid w:val="00077A39"/>
    <w:rsid w:val="000810BA"/>
    <w:rsid w:val="00082C20"/>
    <w:rsid w:val="000852DF"/>
    <w:rsid w:val="00085362"/>
    <w:rsid w:val="0008631F"/>
    <w:rsid w:val="00092AA6"/>
    <w:rsid w:val="00094CF8"/>
    <w:rsid w:val="0009636D"/>
    <w:rsid w:val="00096424"/>
    <w:rsid w:val="00097990"/>
    <w:rsid w:val="000A1D38"/>
    <w:rsid w:val="000A2F6A"/>
    <w:rsid w:val="000A39A8"/>
    <w:rsid w:val="000A69EE"/>
    <w:rsid w:val="000B06DF"/>
    <w:rsid w:val="000B123D"/>
    <w:rsid w:val="000B651B"/>
    <w:rsid w:val="000C5B9B"/>
    <w:rsid w:val="000C63A2"/>
    <w:rsid w:val="000C65ED"/>
    <w:rsid w:val="000C744D"/>
    <w:rsid w:val="000D25E1"/>
    <w:rsid w:val="000D6F8C"/>
    <w:rsid w:val="000E787D"/>
    <w:rsid w:val="000F4F61"/>
    <w:rsid w:val="000F69F4"/>
    <w:rsid w:val="00104F70"/>
    <w:rsid w:val="00105D28"/>
    <w:rsid w:val="00107ED9"/>
    <w:rsid w:val="001108E7"/>
    <w:rsid w:val="0011273F"/>
    <w:rsid w:val="0011408F"/>
    <w:rsid w:val="00121148"/>
    <w:rsid w:val="00123AF8"/>
    <w:rsid w:val="00126145"/>
    <w:rsid w:val="00127B22"/>
    <w:rsid w:val="00130DCB"/>
    <w:rsid w:val="001315BA"/>
    <w:rsid w:val="00132FB6"/>
    <w:rsid w:val="00133B4B"/>
    <w:rsid w:val="001348A6"/>
    <w:rsid w:val="00135198"/>
    <w:rsid w:val="001408B1"/>
    <w:rsid w:val="00142A59"/>
    <w:rsid w:val="001455C3"/>
    <w:rsid w:val="0014593A"/>
    <w:rsid w:val="00150743"/>
    <w:rsid w:val="00152005"/>
    <w:rsid w:val="001545F9"/>
    <w:rsid w:val="00155EC7"/>
    <w:rsid w:val="001562F6"/>
    <w:rsid w:val="001573F9"/>
    <w:rsid w:val="00164324"/>
    <w:rsid w:val="00165932"/>
    <w:rsid w:val="001668AA"/>
    <w:rsid w:val="0016758B"/>
    <w:rsid w:val="0017033D"/>
    <w:rsid w:val="00173277"/>
    <w:rsid w:val="00175E44"/>
    <w:rsid w:val="001769AB"/>
    <w:rsid w:val="00185857"/>
    <w:rsid w:val="00185913"/>
    <w:rsid w:val="0019061D"/>
    <w:rsid w:val="00191349"/>
    <w:rsid w:val="00194FF1"/>
    <w:rsid w:val="00195107"/>
    <w:rsid w:val="00195664"/>
    <w:rsid w:val="00196D7D"/>
    <w:rsid w:val="001A10F2"/>
    <w:rsid w:val="001A1617"/>
    <w:rsid w:val="001A3C5F"/>
    <w:rsid w:val="001A4A01"/>
    <w:rsid w:val="001A7030"/>
    <w:rsid w:val="001A786C"/>
    <w:rsid w:val="001B4A46"/>
    <w:rsid w:val="001B5927"/>
    <w:rsid w:val="001B59A0"/>
    <w:rsid w:val="001B6082"/>
    <w:rsid w:val="001B66A6"/>
    <w:rsid w:val="001C128D"/>
    <w:rsid w:val="001C5194"/>
    <w:rsid w:val="001C6C78"/>
    <w:rsid w:val="001C7692"/>
    <w:rsid w:val="001D19D9"/>
    <w:rsid w:val="001D40FC"/>
    <w:rsid w:val="001E1714"/>
    <w:rsid w:val="001E5FCB"/>
    <w:rsid w:val="001E69A9"/>
    <w:rsid w:val="001E782E"/>
    <w:rsid w:val="001F5AA8"/>
    <w:rsid w:val="001F67FC"/>
    <w:rsid w:val="0020213F"/>
    <w:rsid w:val="00206E7E"/>
    <w:rsid w:val="00211252"/>
    <w:rsid w:val="00211C71"/>
    <w:rsid w:val="0021222F"/>
    <w:rsid w:val="00212A1E"/>
    <w:rsid w:val="002139DB"/>
    <w:rsid w:val="00213EBD"/>
    <w:rsid w:val="002157F6"/>
    <w:rsid w:val="0022026D"/>
    <w:rsid w:val="00224DD2"/>
    <w:rsid w:val="0022524E"/>
    <w:rsid w:val="00225ABF"/>
    <w:rsid w:val="00226378"/>
    <w:rsid w:val="00226A54"/>
    <w:rsid w:val="00230EE0"/>
    <w:rsid w:val="00231634"/>
    <w:rsid w:val="002350B1"/>
    <w:rsid w:val="002375C2"/>
    <w:rsid w:val="002410C7"/>
    <w:rsid w:val="002414EA"/>
    <w:rsid w:val="00244F34"/>
    <w:rsid w:val="00250A3C"/>
    <w:rsid w:val="002542CC"/>
    <w:rsid w:val="002561A7"/>
    <w:rsid w:val="00257B62"/>
    <w:rsid w:val="00261119"/>
    <w:rsid w:val="00261D6A"/>
    <w:rsid w:val="00261E21"/>
    <w:rsid w:val="00264D01"/>
    <w:rsid w:val="00265256"/>
    <w:rsid w:val="00267B97"/>
    <w:rsid w:val="00267EE6"/>
    <w:rsid w:val="002824A7"/>
    <w:rsid w:val="00282CDD"/>
    <w:rsid w:val="00283E2D"/>
    <w:rsid w:val="002904FD"/>
    <w:rsid w:val="00291E54"/>
    <w:rsid w:val="00292052"/>
    <w:rsid w:val="0029262F"/>
    <w:rsid w:val="00294BCA"/>
    <w:rsid w:val="00295B3F"/>
    <w:rsid w:val="00295CDD"/>
    <w:rsid w:val="002A3278"/>
    <w:rsid w:val="002A4D4E"/>
    <w:rsid w:val="002B5BD8"/>
    <w:rsid w:val="002B6044"/>
    <w:rsid w:val="002B70DF"/>
    <w:rsid w:val="002C1C6C"/>
    <w:rsid w:val="002C584A"/>
    <w:rsid w:val="002C69C3"/>
    <w:rsid w:val="002D2886"/>
    <w:rsid w:val="002D3746"/>
    <w:rsid w:val="002D3B1D"/>
    <w:rsid w:val="002D6084"/>
    <w:rsid w:val="002D6892"/>
    <w:rsid w:val="002E15D0"/>
    <w:rsid w:val="002E1EEA"/>
    <w:rsid w:val="002E494A"/>
    <w:rsid w:val="002E5090"/>
    <w:rsid w:val="002E63D9"/>
    <w:rsid w:val="002E7078"/>
    <w:rsid w:val="002F273C"/>
    <w:rsid w:val="002F79A1"/>
    <w:rsid w:val="00306B89"/>
    <w:rsid w:val="00306EFD"/>
    <w:rsid w:val="0031228E"/>
    <w:rsid w:val="00320FF2"/>
    <w:rsid w:val="00324FB6"/>
    <w:rsid w:val="00327038"/>
    <w:rsid w:val="003315E9"/>
    <w:rsid w:val="00334634"/>
    <w:rsid w:val="00335977"/>
    <w:rsid w:val="003365DA"/>
    <w:rsid w:val="003377F8"/>
    <w:rsid w:val="0034130A"/>
    <w:rsid w:val="00344DD5"/>
    <w:rsid w:val="00362384"/>
    <w:rsid w:val="0036508C"/>
    <w:rsid w:val="003655C3"/>
    <w:rsid w:val="00366217"/>
    <w:rsid w:val="00367FB5"/>
    <w:rsid w:val="00370BCA"/>
    <w:rsid w:val="00371E6E"/>
    <w:rsid w:val="00380628"/>
    <w:rsid w:val="003813DA"/>
    <w:rsid w:val="00381703"/>
    <w:rsid w:val="00382F2B"/>
    <w:rsid w:val="00383EFA"/>
    <w:rsid w:val="00385990"/>
    <w:rsid w:val="00386565"/>
    <w:rsid w:val="00386EB4"/>
    <w:rsid w:val="0039615F"/>
    <w:rsid w:val="003A0A8C"/>
    <w:rsid w:val="003A1090"/>
    <w:rsid w:val="003A1A73"/>
    <w:rsid w:val="003A2C17"/>
    <w:rsid w:val="003B2753"/>
    <w:rsid w:val="003B2E02"/>
    <w:rsid w:val="003B33CB"/>
    <w:rsid w:val="003C656E"/>
    <w:rsid w:val="003D2F62"/>
    <w:rsid w:val="003D428A"/>
    <w:rsid w:val="003D749C"/>
    <w:rsid w:val="003E0172"/>
    <w:rsid w:val="003E218A"/>
    <w:rsid w:val="003E30AD"/>
    <w:rsid w:val="003E611D"/>
    <w:rsid w:val="003E6921"/>
    <w:rsid w:val="003F2191"/>
    <w:rsid w:val="003F4790"/>
    <w:rsid w:val="00400B04"/>
    <w:rsid w:val="00402A25"/>
    <w:rsid w:val="004117E7"/>
    <w:rsid w:val="00412A00"/>
    <w:rsid w:val="004173F8"/>
    <w:rsid w:val="00421D96"/>
    <w:rsid w:val="00424DDD"/>
    <w:rsid w:val="00424F10"/>
    <w:rsid w:val="00430280"/>
    <w:rsid w:val="00432548"/>
    <w:rsid w:val="00432702"/>
    <w:rsid w:val="00436331"/>
    <w:rsid w:val="004403A5"/>
    <w:rsid w:val="00441222"/>
    <w:rsid w:val="0044515F"/>
    <w:rsid w:val="00447475"/>
    <w:rsid w:val="00450F4A"/>
    <w:rsid w:val="00453A74"/>
    <w:rsid w:val="00456500"/>
    <w:rsid w:val="00463505"/>
    <w:rsid w:val="00463D60"/>
    <w:rsid w:val="00463EC8"/>
    <w:rsid w:val="004643CF"/>
    <w:rsid w:val="0047120C"/>
    <w:rsid w:val="0047168B"/>
    <w:rsid w:val="004717F6"/>
    <w:rsid w:val="00472171"/>
    <w:rsid w:val="00472B5F"/>
    <w:rsid w:val="004773FF"/>
    <w:rsid w:val="00481B33"/>
    <w:rsid w:val="00482E06"/>
    <w:rsid w:val="00487024"/>
    <w:rsid w:val="00490E63"/>
    <w:rsid w:val="00491723"/>
    <w:rsid w:val="00492725"/>
    <w:rsid w:val="00494B2F"/>
    <w:rsid w:val="004A0A72"/>
    <w:rsid w:val="004A0EC0"/>
    <w:rsid w:val="004A4D62"/>
    <w:rsid w:val="004B0B0F"/>
    <w:rsid w:val="004B0F25"/>
    <w:rsid w:val="004B27E9"/>
    <w:rsid w:val="004B3F4F"/>
    <w:rsid w:val="004B5722"/>
    <w:rsid w:val="004B5BE2"/>
    <w:rsid w:val="004C281B"/>
    <w:rsid w:val="004C2901"/>
    <w:rsid w:val="004D1CB1"/>
    <w:rsid w:val="004D2229"/>
    <w:rsid w:val="004D2437"/>
    <w:rsid w:val="004D4AB7"/>
    <w:rsid w:val="004D63A7"/>
    <w:rsid w:val="004D6BBE"/>
    <w:rsid w:val="004E0742"/>
    <w:rsid w:val="004E0F2D"/>
    <w:rsid w:val="004E2C67"/>
    <w:rsid w:val="004E33B0"/>
    <w:rsid w:val="004E45C7"/>
    <w:rsid w:val="004E51AF"/>
    <w:rsid w:val="004F46EC"/>
    <w:rsid w:val="004F7120"/>
    <w:rsid w:val="004F7310"/>
    <w:rsid w:val="00502738"/>
    <w:rsid w:val="0050318E"/>
    <w:rsid w:val="00503CED"/>
    <w:rsid w:val="00503D80"/>
    <w:rsid w:val="005148C9"/>
    <w:rsid w:val="00514DF8"/>
    <w:rsid w:val="0052181C"/>
    <w:rsid w:val="00524368"/>
    <w:rsid w:val="00524C99"/>
    <w:rsid w:val="00525C4D"/>
    <w:rsid w:val="00530704"/>
    <w:rsid w:val="00530FCC"/>
    <w:rsid w:val="0053217F"/>
    <w:rsid w:val="005325DA"/>
    <w:rsid w:val="00532CDC"/>
    <w:rsid w:val="00536370"/>
    <w:rsid w:val="00536FBF"/>
    <w:rsid w:val="0053776F"/>
    <w:rsid w:val="00537953"/>
    <w:rsid w:val="00541453"/>
    <w:rsid w:val="00542224"/>
    <w:rsid w:val="00544DBC"/>
    <w:rsid w:val="00545B6F"/>
    <w:rsid w:val="005509E2"/>
    <w:rsid w:val="005518CE"/>
    <w:rsid w:val="00551C85"/>
    <w:rsid w:val="005541B8"/>
    <w:rsid w:val="00554A6E"/>
    <w:rsid w:val="005610C2"/>
    <w:rsid w:val="00562478"/>
    <w:rsid w:val="005709CF"/>
    <w:rsid w:val="00572441"/>
    <w:rsid w:val="005735C5"/>
    <w:rsid w:val="00575A8D"/>
    <w:rsid w:val="00575C37"/>
    <w:rsid w:val="00576DBB"/>
    <w:rsid w:val="00577758"/>
    <w:rsid w:val="00585359"/>
    <w:rsid w:val="005A03BB"/>
    <w:rsid w:val="005A08AC"/>
    <w:rsid w:val="005A0958"/>
    <w:rsid w:val="005A5915"/>
    <w:rsid w:val="005A6C77"/>
    <w:rsid w:val="005A771B"/>
    <w:rsid w:val="005A7A96"/>
    <w:rsid w:val="005B5D8C"/>
    <w:rsid w:val="005B6830"/>
    <w:rsid w:val="005B7E23"/>
    <w:rsid w:val="005C774C"/>
    <w:rsid w:val="005D0D91"/>
    <w:rsid w:val="005D2C1F"/>
    <w:rsid w:val="005D375C"/>
    <w:rsid w:val="005D5283"/>
    <w:rsid w:val="005D53BC"/>
    <w:rsid w:val="005D7D31"/>
    <w:rsid w:val="005E21AD"/>
    <w:rsid w:val="005E3863"/>
    <w:rsid w:val="005E7C67"/>
    <w:rsid w:val="005F39FC"/>
    <w:rsid w:val="005F67A1"/>
    <w:rsid w:val="005F7EB3"/>
    <w:rsid w:val="0060125E"/>
    <w:rsid w:val="00601E5B"/>
    <w:rsid w:val="00604023"/>
    <w:rsid w:val="00604F15"/>
    <w:rsid w:val="0060521F"/>
    <w:rsid w:val="00611D72"/>
    <w:rsid w:val="006213E7"/>
    <w:rsid w:val="00622C67"/>
    <w:rsid w:val="00624C4C"/>
    <w:rsid w:val="00633959"/>
    <w:rsid w:val="00635DB1"/>
    <w:rsid w:val="00635F22"/>
    <w:rsid w:val="006363EC"/>
    <w:rsid w:val="00637CA3"/>
    <w:rsid w:val="00642780"/>
    <w:rsid w:val="00642859"/>
    <w:rsid w:val="00647892"/>
    <w:rsid w:val="0065423D"/>
    <w:rsid w:val="0065500D"/>
    <w:rsid w:val="006556C3"/>
    <w:rsid w:val="00656CD0"/>
    <w:rsid w:val="006575C3"/>
    <w:rsid w:val="006623BE"/>
    <w:rsid w:val="0066298F"/>
    <w:rsid w:val="0066530B"/>
    <w:rsid w:val="006660B5"/>
    <w:rsid w:val="00666559"/>
    <w:rsid w:val="00670578"/>
    <w:rsid w:val="00673043"/>
    <w:rsid w:val="00675550"/>
    <w:rsid w:val="0068048B"/>
    <w:rsid w:val="00684847"/>
    <w:rsid w:val="006873C5"/>
    <w:rsid w:val="00690708"/>
    <w:rsid w:val="006910C2"/>
    <w:rsid w:val="00691C28"/>
    <w:rsid w:val="00693134"/>
    <w:rsid w:val="006931DC"/>
    <w:rsid w:val="00697C91"/>
    <w:rsid w:val="006A4474"/>
    <w:rsid w:val="006A49AE"/>
    <w:rsid w:val="006A49CA"/>
    <w:rsid w:val="006A59BA"/>
    <w:rsid w:val="006C2A44"/>
    <w:rsid w:val="006C2C48"/>
    <w:rsid w:val="006C3EC2"/>
    <w:rsid w:val="006C4096"/>
    <w:rsid w:val="006C4615"/>
    <w:rsid w:val="006C6808"/>
    <w:rsid w:val="006C787F"/>
    <w:rsid w:val="006D41E7"/>
    <w:rsid w:val="006D7BC2"/>
    <w:rsid w:val="006E007E"/>
    <w:rsid w:val="006E0673"/>
    <w:rsid w:val="006E2411"/>
    <w:rsid w:val="006E24DC"/>
    <w:rsid w:val="006E3E15"/>
    <w:rsid w:val="006E7785"/>
    <w:rsid w:val="006F06ED"/>
    <w:rsid w:val="006F31E3"/>
    <w:rsid w:val="00700076"/>
    <w:rsid w:val="0070349A"/>
    <w:rsid w:val="00704057"/>
    <w:rsid w:val="0070457C"/>
    <w:rsid w:val="00705473"/>
    <w:rsid w:val="00706307"/>
    <w:rsid w:val="00706819"/>
    <w:rsid w:val="0070705F"/>
    <w:rsid w:val="00707B3D"/>
    <w:rsid w:val="007104D7"/>
    <w:rsid w:val="00710EE1"/>
    <w:rsid w:val="007121AD"/>
    <w:rsid w:val="007135AE"/>
    <w:rsid w:val="00725BCD"/>
    <w:rsid w:val="007329B3"/>
    <w:rsid w:val="00732A4D"/>
    <w:rsid w:val="00735115"/>
    <w:rsid w:val="0073558F"/>
    <w:rsid w:val="007412C4"/>
    <w:rsid w:val="00742CCB"/>
    <w:rsid w:val="0074552C"/>
    <w:rsid w:val="007473B5"/>
    <w:rsid w:val="007536E0"/>
    <w:rsid w:val="007537CA"/>
    <w:rsid w:val="00754EA5"/>
    <w:rsid w:val="00755022"/>
    <w:rsid w:val="007558CE"/>
    <w:rsid w:val="00755E53"/>
    <w:rsid w:val="00757110"/>
    <w:rsid w:val="007601C0"/>
    <w:rsid w:val="00760C3B"/>
    <w:rsid w:val="00761016"/>
    <w:rsid w:val="0076526E"/>
    <w:rsid w:val="00766967"/>
    <w:rsid w:val="00767394"/>
    <w:rsid w:val="007710FA"/>
    <w:rsid w:val="0077228B"/>
    <w:rsid w:val="00772866"/>
    <w:rsid w:val="00775C38"/>
    <w:rsid w:val="00780F8E"/>
    <w:rsid w:val="00786A16"/>
    <w:rsid w:val="007870EE"/>
    <w:rsid w:val="0079136F"/>
    <w:rsid w:val="00793864"/>
    <w:rsid w:val="00794520"/>
    <w:rsid w:val="007962BC"/>
    <w:rsid w:val="00797B6B"/>
    <w:rsid w:val="007A056B"/>
    <w:rsid w:val="007A2B23"/>
    <w:rsid w:val="007A3428"/>
    <w:rsid w:val="007A40EF"/>
    <w:rsid w:val="007A5028"/>
    <w:rsid w:val="007A6A98"/>
    <w:rsid w:val="007A7866"/>
    <w:rsid w:val="007B0715"/>
    <w:rsid w:val="007B1C59"/>
    <w:rsid w:val="007B1E3E"/>
    <w:rsid w:val="007B2948"/>
    <w:rsid w:val="007B499A"/>
    <w:rsid w:val="007B7E14"/>
    <w:rsid w:val="007C4A22"/>
    <w:rsid w:val="007D07C4"/>
    <w:rsid w:val="007E1F2B"/>
    <w:rsid w:val="007E2E28"/>
    <w:rsid w:val="007E7121"/>
    <w:rsid w:val="007F0652"/>
    <w:rsid w:val="007F1088"/>
    <w:rsid w:val="007F1AC7"/>
    <w:rsid w:val="007F3297"/>
    <w:rsid w:val="008014D7"/>
    <w:rsid w:val="00802CC0"/>
    <w:rsid w:val="00804158"/>
    <w:rsid w:val="0080498E"/>
    <w:rsid w:val="00806312"/>
    <w:rsid w:val="008070F8"/>
    <w:rsid w:val="00807BFB"/>
    <w:rsid w:val="0081054F"/>
    <w:rsid w:val="00811E43"/>
    <w:rsid w:val="00812488"/>
    <w:rsid w:val="00814D12"/>
    <w:rsid w:val="00822474"/>
    <w:rsid w:val="0082303F"/>
    <w:rsid w:val="008243D7"/>
    <w:rsid w:val="00824673"/>
    <w:rsid w:val="00826487"/>
    <w:rsid w:val="00827A59"/>
    <w:rsid w:val="008305A0"/>
    <w:rsid w:val="0083110D"/>
    <w:rsid w:val="00832178"/>
    <w:rsid w:val="00834D4E"/>
    <w:rsid w:val="00835428"/>
    <w:rsid w:val="008369F2"/>
    <w:rsid w:val="0084029B"/>
    <w:rsid w:val="00840EAD"/>
    <w:rsid w:val="0084216D"/>
    <w:rsid w:val="00847A64"/>
    <w:rsid w:val="00850E57"/>
    <w:rsid w:val="00851A97"/>
    <w:rsid w:val="008537F6"/>
    <w:rsid w:val="0085459B"/>
    <w:rsid w:val="00864934"/>
    <w:rsid w:val="00867A32"/>
    <w:rsid w:val="008710D3"/>
    <w:rsid w:val="00872109"/>
    <w:rsid w:val="00872345"/>
    <w:rsid w:val="00872825"/>
    <w:rsid w:val="008762B7"/>
    <w:rsid w:val="00877C67"/>
    <w:rsid w:val="0088530C"/>
    <w:rsid w:val="0088545F"/>
    <w:rsid w:val="00887BC4"/>
    <w:rsid w:val="00893AFF"/>
    <w:rsid w:val="0089494D"/>
    <w:rsid w:val="00894F25"/>
    <w:rsid w:val="008973A1"/>
    <w:rsid w:val="00897BC1"/>
    <w:rsid w:val="008A0309"/>
    <w:rsid w:val="008A118B"/>
    <w:rsid w:val="008A183B"/>
    <w:rsid w:val="008A50CF"/>
    <w:rsid w:val="008A5F26"/>
    <w:rsid w:val="008A6DA5"/>
    <w:rsid w:val="008A7D28"/>
    <w:rsid w:val="008B03AF"/>
    <w:rsid w:val="008B05FE"/>
    <w:rsid w:val="008B0773"/>
    <w:rsid w:val="008B1A41"/>
    <w:rsid w:val="008B3FB5"/>
    <w:rsid w:val="008B46C1"/>
    <w:rsid w:val="008C02CF"/>
    <w:rsid w:val="008C6857"/>
    <w:rsid w:val="008C77C1"/>
    <w:rsid w:val="008C7EF3"/>
    <w:rsid w:val="008D4269"/>
    <w:rsid w:val="008D47EF"/>
    <w:rsid w:val="008D7018"/>
    <w:rsid w:val="008E14FF"/>
    <w:rsid w:val="008E23BA"/>
    <w:rsid w:val="008E2756"/>
    <w:rsid w:val="008E30FD"/>
    <w:rsid w:val="008E3163"/>
    <w:rsid w:val="008E4CA5"/>
    <w:rsid w:val="008E5A00"/>
    <w:rsid w:val="0090022A"/>
    <w:rsid w:val="00900D59"/>
    <w:rsid w:val="009026C8"/>
    <w:rsid w:val="00903D7F"/>
    <w:rsid w:val="00904F19"/>
    <w:rsid w:val="00905356"/>
    <w:rsid w:val="0090660E"/>
    <w:rsid w:val="00906C5A"/>
    <w:rsid w:val="00911232"/>
    <w:rsid w:val="00917622"/>
    <w:rsid w:val="00923CFF"/>
    <w:rsid w:val="009248F7"/>
    <w:rsid w:val="00930B88"/>
    <w:rsid w:val="0093136B"/>
    <w:rsid w:val="00931A5D"/>
    <w:rsid w:val="00933137"/>
    <w:rsid w:val="0094041E"/>
    <w:rsid w:val="0094128C"/>
    <w:rsid w:val="00941326"/>
    <w:rsid w:val="0094217C"/>
    <w:rsid w:val="00952F81"/>
    <w:rsid w:val="00953DA4"/>
    <w:rsid w:val="009552FE"/>
    <w:rsid w:val="00956A9A"/>
    <w:rsid w:val="00962BFE"/>
    <w:rsid w:val="0096308F"/>
    <w:rsid w:val="0096556E"/>
    <w:rsid w:val="00965837"/>
    <w:rsid w:val="00966EC2"/>
    <w:rsid w:val="00974D73"/>
    <w:rsid w:val="00976719"/>
    <w:rsid w:val="00983545"/>
    <w:rsid w:val="00983708"/>
    <w:rsid w:val="00985032"/>
    <w:rsid w:val="00993B1A"/>
    <w:rsid w:val="00994A71"/>
    <w:rsid w:val="009A2ED7"/>
    <w:rsid w:val="009A3FF1"/>
    <w:rsid w:val="009A4944"/>
    <w:rsid w:val="009A500D"/>
    <w:rsid w:val="009A7B22"/>
    <w:rsid w:val="009B2D47"/>
    <w:rsid w:val="009B37DD"/>
    <w:rsid w:val="009B6B0F"/>
    <w:rsid w:val="009C2930"/>
    <w:rsid w:val="009C30D2"/>
    <w:rsid w:val="009C386E"/>
    <w:rsid w:val="009C3B5D"/>
    <w:rsid w:val="009C538E"/>
    <w:rsid w:val="009D62A8"/>
    <w:rsid w:val="009E007E"/>
    <w:rsid w:val="009E5959"/>
    <w:rsid w:val="009E74A0"/>
    <w:rsid w:val="009E7799"/>
    <w:rsid w:val="009F0438"/>
    <w:rsid w:val="009F3525"/>
    <w:rsid w:val="009F6716"/>
    <w:rsid w:val="009F7DE4"/>
    <w:rsid w:val="00A007D0"/>
    <w:rsid w:val="00A03112"/>
    <w:rsid w:val="00A06A20"/>
    <w:rsid w:val="00A06E8B"/>
    <w:rsid w:val="00A0739E"/>
    <w:rsid w:val="00A07418"/>
    <w:rsid w:val="00A075E5"/>
    <w:rsid w:val="00A07D41"/>
    <w:rsid w:val="00A11A90"/>
    <w:rsid w:val="00A137C1"/>
    <w:rsid w:val="00A16D2B"/>
    <w:rsid w:val="00A171CE"/>
    <w:rsid w:val="00A17FCD"/>
    <w:rsid w:val="00A24834"/>
    <w:rsid w:val="00A3049A"/>
    <w:rsid w:val="00A310B4"/>
    <w:rsid w:val="00A350BE"/>
    <w:rsid w:val="00A37456"/>
    <w:rsid w:val="00A420DA"/>
    <w:rsid w:val="00A431BB"/>
    <w:rsid w:val="00A53CD3"/>
    <w:rsid w:val="00A56CA8"/>
    <w:rsid w:val="00A57DC9"/>
    <w:rsid w:val="00A6117F"/>
    <w:rsid w:val="00A63135"/>
    <w:rsid w:val="00A63304"/>
    <w:rsid w:val="00A63C4D"/>
    <w:rsid w:val="00A63CD4"/>
    <w:rsid w:val="00A70CC2"/>
    <w:rsid w:val="00A73532"/>
    <w:rsid w:val="00A74EDA"/>
    <w:rsid w:val="00A761EE"/>
    <w:rsid w:val="00A768D5"/>
    <w:rsid w:val="00A81F44"/>
    <w:rsid w:val="00A83835"/>
    <w:rsid w:val="00A85DC6"/>
    <w:rsid w:val="00A919EA"/>
    <w:rsid w:val="00A91F23"/>
    <w:rsid w:val="00A95740"/>
    <w:rsid w:val="00A95FA5"/>
    <w:rsid w:val="00A97486"/>
    <w:rsid w:val="00AA2258"/>
    <w:rsid w:val="00AA4343"/>
    <w:rsid w:val="00AA4741"/>
    <w:rsid w:val="00AA4DB4"/>
    <w:rsid w:val="00AA6389"/>
    <w:rsid w:val="00AA707A"/>
    <w:rsid w:val="00AB3032"/>
    <w:rsid w:val="00AC4FA2"/>
    <w:rsid w:val="00AC6098"/>
    <w:rsid w:val="00AD443C"/>
    <w:rsid w:val="00AE179D"/>
    <w:rsid w:val="00AE3908"/>
    <w:rsid w:val="00AE481E"/>
    <w:rsid w:val="00AE7996"/>
    <w:rsid w:val="00AE7E04"/>
    <w:rsid w:val="00AF0044"/>
    <w:rsid w:val="00AF30CF"/>
    <w:rsid w:val="00AF4364"/>
    <w:rsid w:val="00AF4725"/>
    <w:rsid w:val="00AF4FBA"/>
    <w:rsid w:val="00AF70E9"/>
    <w:rsid w:val="00AF7878"/>
    <w:rsid w:val="00B02347"/>
    <w:rsid w:val="00B023B9"/>
    <w:rsid w:val="00B02A59"/>
    <w:rsid w:val="00B02B8F"/>
    <w:rsid w:val="00B065E3"/>
    <w:rsid w:val="00B10CE9"/>
    <w:rsid w:val="00B10E19"/>
    <w:rsid w:val="00B12066"/>
    <w:rsid w:val="00B158A2"/>
    <w:rsid w:val="00B15D1B"/>
    <w:rsid w:val="00B20FDB"/>
    <w:rsid w:val="00B211E4"/>
    <w:rsid w:val="00B21760"/>
    <w:rsid w:val="00B226D6"/>
    <w:rsid w:val="00B22A27"/>
    <w:rsid w:val="00B25225"/>
    <w:rsid w:val="00B260B8"/>
    <w:rsid w:val="00B2694C"/>
    <w:rsid w:val="00B27434"/>
    <w:rsid w:val="00B3167C"/>
    <w:rsid w:val="00B318EB"/>
    <w:rsid w:val="00B31974"/>
    <w:rsid w:val="00B32EBF"/>
    <w:rsid w:val="00B35790"/>
    <w:rsid w:val="00B35D8A"/>
    <w:rsid w:val="00B37E97"/>
    <w:rsid w:val="00B4319D"/>
    <w:rsid w:val="00B4320C"/>
    <w:rsid w:val="00B447A6"/>
    <w:rsid w:val="00B51D70"/>
    <w:rsid w:val="00B55C6D"/>
    <w:rsid w:val="00B65BA4"/>
    <w:rsid w:val="00B66173"/>
    <w:rsid w:val="00B66644"/>
    <w:rsid w:val="00B675E2"/>
    <w:rsid w:val="00B702B6"/>
    <w:rsid w:val="00B735D0"/>
    <w:rsid w:val="00B752DC"/>
    <w:rsid w:val="00B76492"/>
    <w:rsid w:val="00B81B44"/>
    <w:rsid w:val="00B8229C"/>
    <w:rsid w:val="00B822B1"/>
    <w:rsid w:val="00B82FC0"/>
    <w:rsid w:val="00B83925"/>
    <w:rsid w:val="00B858F9"/>
    <w:rsid w:val="00B86923"/>
    <w:rsid w:val="00B9344D"/>
    <w:rsid w:val="00B9448B"/>
    <w:rsid w:val="00B95858"/>
    <w:rsid w:val="00BA0099"/>
    <w:rsid w:val="00BA2892"/>
    <w:rsid w:val="00BA3215"/>
    <w:rsid w:val="00BA5FFF"/>
    <w:rsid w:val="00BB03F1"/>
    <w:rsid w:val="00BB48C3"/>
    <w:rsid w:val="00BB5104"/>
    <w:rsid w:val="00BB6D75"/>
    <w:rsid w:val="00BC447F"/>
    <w:rsid w:val="00BC45E1"/>
    <w:rsid w:val="00BD0C93"/>
    <w:rsid w:val="00BD2881"/>
    <w:rsid w:val="00BD29A2"/>
    <w:rsid w:val="00BD33D4"/>
    <w:rsid w:val="00BD384A"/>
    <w:rsid w:val="00BE17B5"/>
    <w:rsid w:val="00BE332E"/>
    <w:rsid w:val="00BE4104"/>
    <w:rsid w:val="00BE5DD4"/>
    <w:rsid w:val="00BF1579"/>
    <w:rsid w:val="00BF2224"/>
    <w:rsid w:val="00BF2903"/>
    <w:rsid w:val="00BF2994"/>
    <w:rsid w:val="00BF2C04"/>
    <w:rsid w:val="00BF534D"/>
    <w:rsid w:val="00BF5F7C"/>
    <w:rsid w:val="00BF63B3"/>
    <w:rsid w:val="00BF7C96"/>
    <w:rsid w:val="00BF7ECF"/>
    <w:rsid w:val="00C00303"/>
    <w:rsid w:val="00C04C71"/>
    <w:rsid w:val="00C04E78"/>
    <w:rsid w:val="00C06BD6"/>
    <w:rsid w:val="00C10E93"/>
    <w:rsid w:val="00C1286D"/>
    <w:rsid w:val="00C145EB"/>
    <w:rsid w:val="00C148DC"/>
    <w:rsid w:val="00C15050"/>
    <w:rsid w:val="00C156CD"/>
    <w:rsid w:val="00C1723C"/>
    <w:rsid w:val="00C20271"/>
    <w:rsid w:val="00C20361"/>
    <w:rsid w:val="00C21544"/>
    <w:rsid w:val="00C25AD3"/>
    <w:rsid w:val="00C266A0"/>
    <w:rsid w:val="00C2701B"/>
    <w:rsid w:val="00C32221"/>
    <w:rsid w:val="00C356E1"/>
    <w:rsid w:val="00C36211"/>
    <w:rsid w:val="00C36663"/>
    <w:rsid w:val="00C414AA"/>
    <w:rsid w:val="00C47340"/>
    <w:rsid w:val="00C52B4A"/>
    <w:rsid w:val="00C5524B"/>
    <w:rsid w:val="00C555C3"/>
    <w:rsid w:val="00C562F7"/>
    <w:rsid w:val="00C60392"/>
    <w:rsid w:val="00C60F38"/>
    <w:rsid w:val="00C64365"/>
    <w:rsid w:val="00C64D91"/>
    <w:rsid w:val="00C6588A"/>
    <w:rsid w:val="00C66A70"/>
    <w:rsid w:val="00C701CF"/>
    <w:rsid w:val="00C74F43"/>
    <w:rsid w:val="00C750E4"/>
    <w:rsid w:val="00C76B56"/>
    <w:rsid w:val="00C816DD"/>
    <w:rsid w:val="00C82238"/>
    <w:rsid w:val="00C85580"/>
    <w:rsid w:val="00C85B2A"/>
    <w:rsid w:val="00C8717D"/>
    <w:rsid w:val="00C879D8"/>
    <w:rsid w:val="00C87B14"/>
    <w:rsid w:val="00C95A5B"/>
    <w:rsid w:val="00C96690"/>
    <w:rsid w:val="00C9703A"/>
    <w:rsid w:val="00CA1B77"/>
    <w:rsid w:val="00CA4F36"/>
    <w:rsid w:val="00CA5AE9"/>
    <w:rsid w:val="00CA7056"/>
    <w:rsid w:val="00CB136A"/>
    <w:rsid w:val="00CB1D9F"/>
    <w:rsid w:val="00CB208E"/>
    <w:rsid w:val="00CB2568"/>
    <w:rsid w:val="00CC1A90"/>
    <w:rsid w:val="00CC2A4E"/>
    <w:rsid w:val="00CC3366"/>
    <w:rsid w:val="00CD0CB6"/>
    <w:rsid w:val="00CD0F57"/>
    <w:rsid w:val="00CD30BA"/>
    <w:rsid w:val="00CD65A0"/>
    <w:rsid w:val="00CE2C54"/>
    <w:rsid w:val="00CE4AF4"/>
    <w:rsid w:val="00CF25AB"/>
    <w:rsid w:val="00CF2AED"/>
    <w:rsid w:val="00CF2CF1"/>
    <w:rsid w:val="00CF5800"/>
    <w:rsid w:val="00CF7FF1"/>
    <w:rsid w:val="00D03D31"/>
    <w:rsid w:val="00D045B6"/>
    <w:rsid w:val="00D054BA"/>
    <w:rsid w:val="00D13677"/>
    <w:rsid w:val="00D14B70"/>
    <w:rsid w:val="00D14F48"/>
    <w:rsid w:val="00D1666F"/>
    <w:rsid w:val="00D2600F"/>
    <w:rsid w:val="00D26AE0"/>
    <w:rsid w:val="00D2703E"/>
    <w:rsid w:val="00D30E5D"/>
    <w:rsid w:val="00D31BC6"/>
    <w:rsid w:val="00D32153"/>
    <w:rsid w:val="00D348D5"/>
    <w:rsid w:val="00D40A0A"/>
    <w:rsid w:val="00D4110E"/>
    <w:rsid w:val="00D41B7A"/>
    <w:rsid w:val="00D431A7"/>
    <w:rsid w:val="00D44700"/>
    <w:rsid w:val="00D44748"/>
    <w:rsid w:val="00D44999"/>
    <w:rsid w:val="00D45031"/>
    <w:rsid w:val="00D45B67"/>
    <w:rsid w:val="00D462A5"/>
    <w:rsid w:val="00D50E18"/>
    <w:rsid w:val="00D538BD"/>
    <w:rsid w:val="00D645FF"/>
    <w:rsid w:val="00D64E2D"/>
    <w:rsid w:val="00D72FC0"/>
    <w:rsid w:val="00D74082"/>
    <w:rsid w:val="00D743A6"/>
    <w:rsid w:val="00D76455"/>
    <w:rsid w:val="00D8637E"/>
    <w:rsid w:val="00D90775"/>
    <w:rsid w:val="00D914BC"/>
    <w:rsid w:val="00D95521"/>
    <w:rsid w:val="00D96549"/>
    <w:rsid w:val="00DA1FAC"/>
    <w:rsid w:val="00DA440D"/>
    <w:rsid w:val="00DA60EE"/>
    <w:rsid w:val="00DA710E"/>
    <w:rsid w:val="00DB25B8"/>
    <w:rsid w:val="00DB3623"/>
    <w:rsid w:val="00DB5B5E"/>
    <w:rsid w:val="00DC1BF2"/>
    <w:rsid w:val="00DC45AE"/>
    <w:rsid w:val="00DC59B9"/>
    <w:rsid w:val="00DC7602"/>
    <w:rsid w:val="00DC7672"/>
    <w:rsid w:val="00DD0521"/>
    <w:rsid w:val="00DD1C09"/>
    <w:rsid w:val="00DD2521"/>
    <w:rsid w:val="00DD2680"/>
    <w:rsid w:val="00DD26FC"/>
    <w:rsid w:val="00DD271D"/>
    <w:rsid w:val="00DD335B"/>
    <w:rsid w:val="00DD5E88"/>
    <w:rsid w:val="00DE3B0D"/>
    <w:rsid w:val="00DE6220"/>
    <w:rsid w:val="00DE78D5"/>
    <w:rsid w:val="00DF0821"/>
    <w:rsid w:val="00DF4983"/>
    <w:rsid w:val="00DF7120"/>
    <w:rsid w:val="00DF72FE"/>
    <w:rsid w:val="00E00206"/>
    <w:rsid w:val="00E02DB1"/>
    <w:rsid w:val="00E02DF3"/>
    <w:rsid w:val="00E03BA4"/>
    <w:rsid w:val="00E07906"/>
    <w:rsid w:val="00E106CB"/>
    <w:rsid w:val="00E12B6F"/>
    <w:rsid w:val="00E146C2"/>
    <w:rsid w:val="00E15C32"/>
    <w:rsid w:val="00E1691B"/>
    <w:rsid w:val="00E17BDD"/>
    <w:rsid w:val="00E326EB"/>
    <w:rsid w:val="00E32D05"/>
    <w:rsid w:val="00E33032"/>
    <w:rsid w:val="00E337EA"/>
    <w:rsid w:val="00E40D25"/>
    <w:rsid w:val="00E42A53"/>
    <w:rsid w:val="00E42B46"/>
    <w:rsid w:val="00E43343"/>
    <w:rsid w:val="00E4334E"/>
    <w:rsid w:val="00E43774"/>
    <w:rsid w:val="00E43DA2"/>
    <w:rsid w:val="00E54F36"/>
    <w:rsid w:val="00E56BF1"/>
    <w:rsid w:val="00E60076"/>
    <w:rsid w:val="00E60BAA"/>
    <w:rsid w:val="00E61F0A"/>
    <w:rsid w:val="00E62007"/>
    <w:rsid w:val="00E63A66"/>
    <w:rsid w:val="00E63EA6"/>
    <w:rsid w:val="00E65320"/>
    <w:rsid w:val="00E671E7"/>
    <w:rsid w:val="00E71A7D"/>
    <w:rsid w:val="00E73299"/>
    <w:rsid w:val="00E73EFA"/>
    <w:rsid w:val="00E764D0"/>
    <w:rsid w:val="00E83D60"/>
    <w:rsid w:val="00E83ED5"/>
    <w:rsid w:val="00E86CD6"/>
    <w:rsid w:val="00EA2E7E"/>
    <w:rsid w:val="00EA65AD"/>
    <w:rsid w:val="00EA6D54"/>
    <w:rsid w:val="00EB2119"/>
    <w:rsid w:val="00EB2973"/>
    <w:rsid w:val="00EB5928"/>
    <w:rsid w:val="00EC14FA"/>
    <w:rsid w:val="00EC2DB3"/>
    <w:rsid w:val="00EC4081"/>
    <w:rsid w:val="00EC466D"/>
    <w:rsid w:val="00EC7567"/>
    <w:rsid w:val="00ED073C"/>
    <w:rsid w:val="00ED0B75"/>
    <w:rsid w:val="00ED3C6F"/>
    <w:rsid w:val="00ED50D9"/>
    <w:rsid w:val="00EE007B"/>
    <w:rsid w:val="00EE1302"/>
    <w:rsid w:val="00EE2D84"/>
    <w:rsid w:val="00EE39A8"/>
    <w:rsid w:val="00EE3A16"/>
    <w:rsid w:val="00EE6C08"/>
    <w:rsid w:val="00EF116E"/>
    <w:rsid w:val="00EF4E64"/>
    <w:rsid w:val="00EF67BB"/>
    <w:rsid w:val="00EF733E"/>
    <w:rsid w:val="00F05560"/>
    <w:rsid w:val="00F05DD1"/>
    <w:rsid w:val="00F0618C"/>
    <w:rsid w:val="00F116E1"/>
    <w:rsid w:val="00F117C8"/>
    <w:rsid w:val="00F16B55"/>
    <w:rsid w:val="00F16C9B"/>
    <w:rsid w:val="00F21FFB"/>
    <w:rsid w:val="00F2215F"/>
    <w:rsid w:val="00F230F9"/>
    <w:rsid w:val="00F24C5E"/>
    <w:rsid w:val="00F261C6"/>
    <w:rsid w:val="00F267DE"/>
    <w:rsid w:val="00F3142C"/>
    <w:rsid w:val="00F32785"/>
    <w:rsid w:val="00F40454"/>
    <w:rsid w:val="00F4347F"/>
    <w:rsid w:val="00F4753A"/>
    <w:rsid w:val="00F47DE8"/>
    <w:rsid w:val="00F5096C"/>
    <w:rsid w:val="00F5444D"/>
    <w:rsid w:val="00F642C0"/>
    <w:rsid w:val="00F64A62"/>
    <w:rsid w:val="00F66F24"/>
    <w:rsid w:val="00F70FF6"/>
    <w:rsid w:val="00F76181"/>
    <w:rsid w:val="00F809A2"/>
    <w:rsid w:val="00F829CA"/>
    <w:rsid w:val="00F82FE4"/>
    <w:rsid w:val="00F837F7"/>
    <w:rsid w:val="00F84822"/>
    <w:rsid w:val="00F9407F"/>
    <w:rsid w:val="00F949D3"/>
    <w:rsid w:val="00F96067"/>
    <w:rsid w:val="00FA1159"/>
    <w:rsid w:val="00FA4E82"/>
    <w:rsid w:val="00FA6D0D"/>
    <w:rsid w:val="00FA7B35"/>
    <w:rsid w:val="00FB0225"/>
    <w:rsid w:val="00FB02B8"/>
    <w:rsid w:val="00FB4860"/>
    <w:rsid w:val="00FB4E0E"/>
    <w:rsid w:val="00FB5969"/>
    <w:rsid w:val="00FB5F5E"/>
    <w:rsid w:val="00FB6D12"/>
    <w:rsid w:val="00FC1FC7"/>
    <w:rsid w:val="00FC62C2"/>
    <w:rsid w:val="00FC75AD"/>
    <w:rsid w:val="00FD1164"/>
    <w:rsid w:val="00FD2733"/>
    <w:rsid w:val="00FD47D3"/>
    <w:rsid w:val="00FD49AB"/>
    <w:rsid w:val="00FD7173"/>
    <w:rsid w:val="00FF026C"/>
    <w:rsid w:val="00FF0ED9"/>
    <w:rsid w:val="00FF30B1"/>
    <w:rsid w:val="00FF39AC"/>
    <w:rsid w:val="00FF4B8A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97D87"/>
  <w15:chartTrackingRefBased/>
  <w15:docId w15:val="{48677CD2-8B84-40F1-A1CF-8C690F54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8A6"/>
    <w:pPr>
      <w:keepNext/>
      <w:keepLines/>
      <w:spacing w:before="480" w:line="276" w:lineRule="auto"/>
      <w:ind w:left="432" w:hanging="432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qFormat/>
    <w:rsid w:val="001348A6"/>
    <w:pPr>
      <w:keepNext/>
      <w:keepLines/>
      <w:spacing w:before="200" w:line="276" w:lineRule="auto"/>
      <w:ind w:left="576" w:hanging="576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qFormat/>
    <w:rsid w:val="001348A6"/>
    <w:pPr>
      <w:keepNext/>
      <w:keepLines/>
      <w:spacing w:before="200" w:line="276" w:lineRule="auto"/>
      <w:ind w:left="720" w:hanging="720"/>
      <w:outlineLvl w:val="2"/>
    </w:pPr>
    <w:rPr>
      <w:rFonts w:ascii="Cambria" w:eastAsia="Calibri" w:hAnsi="Cambria"/>
      <w:b/>
      <w:bCs/>
      <w:color w:val="4F81BD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73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48A6"/>
    <w:pPr>
      <w:keepNext/>
      <w:keepLines/>
      <w:spacing w:before="200" w:line="276" w:lineRule="auto"/>
      <w:ind w:left="1008" w:hanging="1008"/>
      <w:outlineLvl w:val="4"/>
    </w:pPr>
    <w:rPr>
      <w:rFonts w:ascii="Cambria" w:eastAsia="Calibri" w:hAnsi="Cambria"/>
      <w:color w:val="243F60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qFormat/>
    <w:rsid w:val="001348A6"/>
    <w:pPr>
      <w:keepNext/>
      <w:keepLines/>
      <w:spacing w:before="200" w:line="276" w:lineRule="auto"/>
      <w:ind w:left="1152" w:hanging="1152"/>
      <w:outlineLvl w:val="5"/>
    </w:pPr>
    <w:rPr>
      <w:rFonts w:ascii="Cambria" w:eastAsia="Calibri" w:hAnsi="Cambria"/>
      <w:i/>
      <w:iCs/>
      <w:color w:val="243F60"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qFormat/>
    <w:rsid w:val="001348A6"/>
    <w:pPr>
      <w:keepNext/>
      <w:keepLines/>
      <w:spacing w:before="200" w:line="276" w:lineRule="auto"/>
      <w:ind w:left="1296" w:hanging="1296"/>
      <w:outlineLvl w:val="6"/>
    </w:pPr>
    <w:rPr>
      <w:rFonts w:ascii="Cambria" w:eastAsia="Calibri" w:hAnsi="Cambria"/>
      <w:i/>
      <w:iCs/>
      <w:color w:val="404040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qFormat/>
    <w:rsid w:val="001348A6"/>
    <w:pPr>
      <w:keepNext/>
      <w:keepLines/>
      <w:spacing w:before="200" w:line="276" w:lineRule="auto"/>
      <w:ind w:left="1440" w:hanging="144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qFormat/>
    <w:rsid w:val="001348A6"/>
    <w:pPr>
      <w:keepNext/>
      <w:keepLines/>
      <w:spacing w:before="200" w:line="276" w:lineRule="auto"/>
      <w:ind w:left="1584" w:hanging="1584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Car">
    <w:name w:val="Car Car"/>
    <w:basedOn w:val="Normal"/>
    <w:rsid w:val="0031228E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BalloonText">
    <w:name w:val="Balloon Text"/>
    <w:basedOn w:val="Normal"/>
    <w:semiHidden/>
    <w:rsid w:val="008973A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07D41"/>
  </w:style>
  <w:style w:type="character" w:customStyle="1" w:styleId="hpsatn">
    <w:name w:val="hps atn"/>
    <w:basedOn w:val="DefaultParagraphFont"/>
    <w:rsid w:val="00A07D41"/>
  </w:style>
  <w:style w:type="character" w:customStyle="1" w:styleId="atn">
    <w:name w:val="atn"/>
    <w:basedOn w:val="DefaultParagraphFont"/>
    <w:rsid w:val="00A07D41"/>
  </w:style>
  <w:style w:type="character" w:customStyle="1" w:styleId="Heading4Char">
    <w:name w:val="Heading 4 Char"/>
    <w:link w:val="Heading4"/>
    <w:semiHidden/>
    <w:locked/>
    <w:rsid w:val="005735C5"/>
    <w:rPr>
      <w:b/>
      <w:bCs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AA4DB4"/>
    <w:pPr>
      <w:ind w:left="120"/>
      <w:jc w:val="both"/>
    </w:pPr>
    <w:rPr>
      <w:b/>
      <w:bCs/>
      <w:u w:val="single"/>
      <w:lang w:val="sr-Cyrl-CS"/>
    </w:rPr>
  </w:style>
  <w:style w:type="character" w:customStyle="1" w:styleId="BodyTextIndentChar">
    <w:name w:val="Body Text Indent Char"/>
    <w:link w:val="BodyTextIndent"/>
    <w:rsid w:val="00AA4DB4"/>
    <w:rPr>
      <w:b/>
      <w:bCs/>
      <w:sz w:val="24"/>
      <w:szCs w:val="24"/>
      <w:u w:val="single"/>
      <w:lang w:val="sr-Cyrl-CS" w:eastAsia="en-US" w:bidi="ar-SA"/>
    </w:rPr>
  </w:style>
  <w:style w:type="character" w:styleId="FootnoteReference">
    <w:name w:val="footnote reference"/>
    <w:rsid w:val="00B158A2"/>
    <w:rPr>
      <w:vertAlign w:val="superscript"/>
    </w:rPr>
  </w:style>
  <w:style w:type="character" w:customStyle="1" w:styleId="Heading1Char">
    <w:name w:val="Heading 1 Char"/>
    <w:link w:val="Heading1"/>
    <w:locked/>
    <w:rsid w:val="001348A6"/>
    <w:rPr>
      <w:rFonts w:ascii="Cambria" w:eastAsia="Calibri" w:hAnsi="Cambria"/>
      <w:b/>
      <w:bCs/>
      <w:color w:val="365F91"/>
      <w:sz w:val="28"/>
      <w:szCs w:val="28"/>
      <w:lang w:val="x-none" w:eastAsia="x-none" w:bidi="ar-SA"/>
    </w:rPr>
  </w:style>
  <w:style w:type="paragraph" w:styleId="BodyText">
    <w:name w:val="Body Text"/>
    <w:basedOn w:val="Normal"/>
    <w:rsid w:val="001348A6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59B2-6112-43B9-96F5-D9796C66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ИНВЕСТИЦИЈЕ У ОСНОВНА СРЕДСТВА</vt:lpstr>
    </vt:vector>
  </TitlesOfParts>
  <Company>.</Company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ИНВЕСТИЦИЈЕ У ОСНОВНА СРЕДСТВА</dc:title>
  <dc:subject/>
  <dc:creator>f65mi06</dc:creator>
  <cp:keywords/>
  <cp:lastModifiedBy>Irena Dimic</cp:lastModifiedBy>
  <cp:revision>4</cp:revision>
  <cp:lastPrinted>2015-02-11T10:32:00Z</cp:lastPrinted>
  <dcterms:created xsi:type="dcterms:W3CDTF">2018-06-15T05:49:00Z</dcterms:created>
  <dcterms:modified xsi:type="dcterms:W3CDTF">2018-06-15T05:49:00Z</dcterms:modified>
</cp:coreProperties>
</file>