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E0B11" w:rsidRPr="003D4F6A" w:rsidTr="001D335E">
        <w:tc>
          <w:tcPr>
            <w:tcW w:w="10296" w:type="dxa"/>
            <w:tcBorders>
              <w:bottom w:val="nil"/>
            </w:tcBorders>
          </w:tcPr>
          <w:p w:rsidR="00181EC2" w:rsidRPr="003D4F6A" w:rsidRDefault="00635474" w:rsidP="003447B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  <w:r w:rsidR="008729FB" w:rsidRPr="003D4F6A">
              <w:rPr>
                <w:rFonts w:ascii="Arial" w:hAnsi="Arial" w:cs="Arial"/>
                <w:sz w:val="22"/>
                <w:szCs w:val="22"/>
              </w:rPr>
              <w:t>.</w:t>
            </w:r>
            <w:r w:rsidR="00E421A1" w:rsidRPr="003D4F6A">
              <w:rPr>
                <w:rFonts w:ascii="Arial" w:hAnsi="Arial" w:cs="Arial"/>
                <w:sz w:val="22"/>
                <w:szCs w:val="22"/>
              </w:rPr>
              <w:t>0</w:t>
            </w:r>
            <w:r w:rsidR="00CD0C1C" w:rsidRPr="003D4F6A">
              <w:rPr>
                <w:rFonts w:ascii="Arial" w:hAnsi="Arial" w:cs="Arial"/>
                <w:sz w:val="22"/>
                <w:szCs w:val="22"/>
              </w:rPr>
              <w:t>6</w:t>
            </w:r>
            <w:r w:rsidR="008729FB" w:rsidRPr="003D4F6A">
              <w:rPr>
                <w:rFonts w:ascii="Arial" w:hAnsi="Arial" w:cs="Arial"/>
                <w:sz w:val="22"/>
                <w:szCs w:val="22"/>
              </w:rPr>
              <w:t>.20</w:t>
            </w:r>
            <w:r w:rsidR="00F93496" w:rsidRPr="003D4F6A">
              <w:rPr>
                <w:rFonts w:ascii="Arial" w:hAnsi="Arial" w:cs="Arial"/>
                <w:sz w:val="22"/>
                <w:szCs w:val="22"/>
                <w:lang w:val="en-US"/>
              </w:rPr>
              <w:t>18.</w:t>
            </w:r>
          </w:p>
          <w:p w:rsidR="007E0B11" w:rsidRPr="003D4F6A" w:rsidRDefault="008729FB" w:rsidP="003447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4F6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7EFA" w:rsidRPr="003D4F6A" w:rsidRDefault="004558AC" w:rsidP="000A7EFA">
            <w:pPr>
              <w:jc w:val="center"/>
              <w:rPr>
                <w:rFonts w:ascii="Arial" w:hAnsi="Arial" w:cs="Arial"/>
                <w:b/>
              </w:rPr>
            </w:pPr>
            <w:r w:rsidRPr="003D4F6A">
              <w:rPr>
                <w:rFonts w:ascii="Arial" w:hAnsi="Arial" w:cs="Arial"/>
                <w:b/>
              </w:rPr>
              <w:t>Процене становништва Републике Србије</w:t>
            </w:r>
            <w:r w:rsidR="0007076A" w:rsidRPr="003D4F6A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="000A7EFA" w:rsidRPr="003D4F6A">
              <w:rPr>
                <w:rFonts w:ascii="Arial" w:hAnsi="Arial" w:cs="Arial"/>
                <w:b/>
              </w:rPr>
              <w:t>, 201</w:t>
            </w:r>
            <w:r w:rsidR="004B416D" w:rsidRPr="003D4F6A">
              <w:rPr>
                <w:rFonts w:ascii="Arial" w:hAnsi="Arial" w:cs="Arial"/>
                <w:b/>
                <w:lang w:val="en-US"/>
              </w:rPr>
              <w:t>7</w:t>
            </w:r>
            <w:r w:rsidR="000A7EFA" w:rsidRPr="003D4F6A">
              <w:rPr>
                <w:rFonts w:ascii="Arial" w:hAnsi="Arial" w:cs="Arial"/>
                <w:b/>
              </w:rPr>
              <w:t>.</w:t>
            </w:r>
          </w:p>
          <w:p w:rsidR="00072A88" w:rsidRPr="003D4F6A" w:rsidRDefault="00072A88" w:rsidP="00072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941D5" w:rsidRPr="003D4F6A" w:rsidRDefault="00D941D5" w:rsidP="00D941D5">
            <w:pPr>
              <w:ind w:hanging="743"/>
              <w:rPr>
                <w:rFonts w:ascii="Arial" w:hAnsi="Arial" w:cs="Arial"/>
                <w:sz w:val="20"/>
                <w:szCs w:val="20"/>
              </w:rPr>
            </w:pPr>
          </w:p>
          <w:p w:rsidR="00A616EB" w:rsidRPr="003D4F6A" w:rsidRDefault="007B17C6" w:rsidP="000A7E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Републички завод за статистику објављује процене броја становника Републике Србије по старости, полу и типу насеља, за 201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4F6A">
              <w:rPr>
                <w:rFonts w:ascii="Arial" w:hAnsi="Arial" w:cs="Arial"/>
                <w:sz w:val="20"/>
                <w:szCs w:val="20"/>
              </w:rPr>
              <w:t>. годину, и то на н</w:t>
            </w:r>
            <w:r w:rsidR="006B73B9">
              <w:rPr>
                <w:rFonts w:ascii="Arial" w:hAnsi="Arial" w:cs="Arial"/>
                <w:sz w:val="20"/>
                <w:szCs w:val="20"/>
              </w:rPr>
              <w:t>ивоу региона, области и градова/</w:t>
            </w:r>
            <w:r w:rsidRPr="003D4F6A">
              <w:rPr>
                <w:rFonts w:ascii="Arial" w:hAnsi="Arial" w:cs="Arial"/>
                <w:sz w:val="20"/>
                <w:szCs w:val="20"/>
              </w:rPr>
              <w:t>општина.</w:t>
            </w:r>
            <w:r w:rsidR="00F1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1DE" w:rsidRPr="003D4F6A">
              <w:rPr>
                <w:rFonts w:ascii="Arial" w:hAnsi="Arial" w:cs="Arial"/>
                <w:sz w:val="20"/>
                <w:szCs w:val="20"/>
              </w:rPr>
              <w:t xml:space="preserve">Процене су израђене на бази </w:t>
            </w:r>
            <w:r w:rsidR="00CC4F77" w:rsidRPr="003D4F6A">
              <w:rPr>
                <w:rFonts w:ascii="Arial" w:hAnsi="Arial" w:cs="Arial"/>
                <w:sz w:val="20"/>
                <w:szCs w:val="20"/>
              </w:rPr>
              <w:t xml:space="preserve">резултата </w:t>
            </w:r>
            <w:r w:rsidR="00DA21DE" w:rsidRPr="003D4F6A">
              <w:rPr>
                <w:rFonts w:ascii="Arial" w:hAnsi="Arial" w:cs="Arial"/>
                <w:sz w:val="20"/>
                <w:szCs w:val="20"/>
              </w:rPr>
              <w:t>Пописа становништва</w:t>
            </w:r>
            <w:r w:rsidR="00895712" w:rsidRPr="003D4F6A">
              <w:rPr>
                <w:rFonts w:ascii="Arial" w:hAnsi="Arial" w:cs="Arial"/>
                <w:sz w:val="20"/>
                <w:szCs w:val="20"/>
              </w:rPr>
              <w:t>, домаћинстава и станова</w:t>
            </w:r>
            <w:r w:rsidR="00DA21DE" w:rsidRPr="003D4F6A">
              <w:rPr>
                <w:rFonts w:ascii="Arial" w:hAnsi="Arial" w:cs="Arial"/>
                <w:sz w:val="20"/>
                <w:szCs w:val="20"/>
              </w:rPr>
              <w:t xml:space="preserve"> 2011.</w:t>
            </w:r>
            <w:r w:rsidR="00CB5823" w:rsidRPr="003D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1DE" w:rsidRPr="003D4F6A">
              <w:rPr>
                <w:rFonts w:ascii="Arial" w:hAnsi="Arial" w:cs="Arial"/>
                <w:sz w:val="20"/>
                <w:szCs w:val="20"/>
              </w:rPr>
              <w:t xml:space="preserve">године и података о природном и механичком кретању становништва (унутрашње миграције). </w:t>
            </w:r>
          </w:p>
          <w:p w:rsidR="007B17C6" w:rsidRPr="003D4F6A" w:rsidRDefault="007B17C6" w:rsidP="000A7E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3CDA" w:rsidRPr="003D4F6A" w:rsidRDefault="00A616EB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П</w:t>
            </w:r>
            <w:r w:rsidR="0073783B" w:rsidRPr="003D4F6A">
              <w:rPr>
                <w:rFonts w:ascii="Arial" w:hAnsi="Arial" w:cs="Arial"/>
                <w:sz w:val="20"/>
                <w:szCs w:val="20"/>
              </w:rPr>
              <w:t xml:space="preserve">роцењен број становника 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73783B" w:rsidRPr="003D4F6A">
              <w:rPr>
                <w:rFonts w:ascii="Arial" w:hAnsi="Arial" w:cs="Arial"/>
                <w:sz w:val="20"/>
                <w:szCs w:val="20"/>
              </w:rPr>
              <w:t>Републи</w:t>
            </w:r>
            <w:r w:rsidRPr="003D4F6A">
              <w:rPr>
                <w:rFonts w:ascii="Arial" w:hAnsi="Arial" w:cs="Arial"/>
                <w:sz w:val="20"/>
                <w:szCs w:val="20"/>
              </w:rPr>
              <w:t>ци</w:t>
            </w:r>
            <w:r w:rsidR="0073783B" w:rsidRPr="003D4F6A">
              <w:rPr>
                <w:rFonts w:ascii="Arial" w:hAnsi="Arial" w:cs="Arial"/>
                <w:sz w:val="20"/>
                <w:szCs w:val="20"/>
              </w:rPr>
              <w:t xml:space="preserve"> Србиј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и</w:t>
            </w:r>
            <w:r w:rsidR="0073783B" w:rsidRPr="003D4F6A">
              <w:rPr>
                <w:rFonts w:ascii="Arial" w:hAnsi="Arial" w:cs="Arial"/>
                <w:sz w:val="20"/>
                <w:szCs w:val="20"/>
              </w:rPr>
              <w:t xml:space="preserve"> у 201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73783B" w:rsidRPr="003D4F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4F6A">
              <w:rPr>
                <w:rFonts w:ascii="Arial" w:hAnsi="Arial" w:cs="Arial"/>
                <w:sz w:val="20"/>
                <w:szCs w:val="20"/>
              </w:rPr>
              <w:t>г</w:t>
            </w:r>
            <w:r w:rsidR="0073783B" w:rsidRPr="003D4F6A">
              <w:rPr>
                <w:rFonts w:ascii="Arial" w:hAnsi="Arial" w:cs="Arial"/>
                <w:sz w:val="20"/>
                <w:szCs w:val="20"/>
              </w:rPr>
              <w:t>одини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ј</w:t>
            </w:r>
            <w:r w:rsidR="0073783B" w:rsidRPr="003D4F6A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0311C1" w:rsidRPr="003D4F6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7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E31" w:rsidRPr="003D4F6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 w:rsidR="006B7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858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A12F85" w:rsidRPr="003D4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2F85" w:rsidRPr="003D4F6A">
              <w:rPr>
                <w:rFonts w:ascii="Arial" w:hAnsi="Arial" w:cs="Arial"/>
                <w:sz w:val="20"/>
                <w:szCs w:val="20"/>
              </w:rPr>
              <w:t xml:space="preserve">од чега </w:t>
            </w:r>
            <w:r w:rsidR="00A12F85" w:rsidRPr="003D4F6A">
              <w:rPr>
                <w:rFonts w:ascii="Arial" w:hAnsi="Arial" w:cs="Arial"/>
                <w:b/>
                <w:sz w:val="20"/>
                <w:szCs w:val="20"/>
              </w:rPr>
              <w:t>51,3%</w:t>
            </w:r>
            <w:r w:rsidR="00A12F85" w:rsidRPr="003D4F6A">
              <w:rPr>
                <w:rFonts w:ascii="Arial" w:hAnsi="Arial" w:cs="Arial"/>
                <w:sz w:val="20"/>
                <w:szCs w:val="20"/>
              </w:rPr>
              <w:t xml:space="preserve"> чине жене (</w:t>
            </w:r>
            <w:r w:rsidR="000311C1" w:rsidRPr="003D4F6A">
              <w:rPr>
                <w:rFonts w:ascii="Arial" w:hAnsi="Arial" w:cs="Arial"/>
                <w:sz w:val="20"/>
                <w:szCs w:val="20"/>
              </w:rPr>
              <w:t>3</w:t>
            </w:r>
            <w:r w:rsidR="007027B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0311C1" w:rsidRPr="003D4F6A">
              <w:rPr>
                <w:rFonts w:ascii="Arial" w:hAnsi="Arial" w:cs="Arial"/>
                <w:sz w:val="20"/>
                <w:szCs w:val="20"/>
              </w:rPr>
              <w:t>6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="007027B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043</w:t>
            </w:r>
            <w:r w:rsidR="00A12F85" w:rsidRPr="003D4F6A">
              <w:rPr>
                <w:rFonts w:ascii="Arial" w:hAnsi="Arial" w:cs="Arial"/>
                <w:sz w:val="20"/>
                <w:szCs w:val="20"/>
              </w:rPr>
              <w:t>)</w:t>
            </w:r>
            <w:r w:rsidR="00895712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A12F85" w:rsidRPr="003D4F6A">
              <w:rPr>
                <w:rFonts w:ascii="Arial" w:hAnsi="Arial" w:cs="Arial"/>
                <w:sz w:val="20"/>
                <w:szCs w:val="20"/>
              </w:rPr>
              <w:t xml:space="preserve"> а </w:t>
            </w:r>
            <w:r w:rsidR="00A12F85" w:rsidRPr="003D4F6A">
              <w:rPr>
                <w:rFonts w:ascii="Arial" w:hAnsi="Arial" w:cs="Arial"/>
                <w:b/>
                <w:sz w:val="20"/>
                <w:szCs w:val="20"/>
              </w:rPr>
              <w:t>48,7%</w:t>
            </w:r>
            <w:r w:rsidR="00A12F85" w:rsidRPr="003D4F6A">
              <w:rPr>
                <w:rFonts w:ascii="Arial" w:hAnsi="Arial" w:cs="Arial"/>
                <w:sz w:val="20"/>
                <w:szCs w:val="20"/>
              </w:rPr>
              <w:t xml:space="preserve"> мушкарци (</w:t>
            </w:r>
            <w:r w:rsidR="000311C1" w:rsidRPr="003D4F6A">
              <w:rPr>
                <w:rFonts w:ascii="Arial" w:hAnsi="Arial" w:cs="Arial"/>
                <w:sz w:val="20"/>
                <w:szCs w:val="20"/>
              </w:rPr>
              <w:t>3</w:t>
            </w:r>
            <w:r w:rsidR="007027B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0311C1" w:rsidRPr="003D4F6A">
              <w:rPr>
                <w:rFonts w:ascii="Arial" w:hAnsi="Arial" w:cs="Arial"/>
                <w:sz w:val="20"/>
                <w:szCs w:val="20"/>
              </w:rPr>
              <w:t>4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7027B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815</w:t>
            </w:r>
            <w:r w:rsidR="00A12F85" w:rsidRPr="003D4F6A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0048E2" w:rsidRPr="003D4F6A">
              <w:rPr>
                <w:rFonts w:ascii="Arial" w:hAnsi="Arial" w:cs="Arial"/>
                <w:sz w:val="20"/>
                <w:szCs w:val="20"/>
              </w:rPr>
              <w:t>Настављен је тренд депопулације</w:t>
            </w:r>
            <w:r w:rsidR="00CC4F77" w:rsidRPr="003D4F6A">
              <w:rPr>
                <w:rFonts w:ascii="Arial" w:hAnsi="Arial" w:cs="Arial"/>
                <w:sz w:val="20"/>
                <w:szCs w:val="20"/>
              </w:rPr>
              <w:t xml:space="preserve">, што значи да је </w:t>
            </w:r>
            <w:r w:rsidR="000048E2" w:rsidRPr="003D4F6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0311C1" w:rsidRPr="003D4F6A">
              <w:rPr>
                <w:rFonts w:ascii="Arial" w:hAnsi="Arial" w:cs="Arial"/>
                <w:sz w:val="20"/>
                <w:szCs w:val="20"/>
              </w:rPr>
              <w:t>коефицијент</w:t>
            </w:r>
            <w:r w:rsidR="000048E2" w:rsidRPr="003D4F6A">
              <w:rPr>
                <w:rFonts w:ascii="Arial" w:hAnsi="Arial" w:cs="Arial"/>
                <w:sz w:val="20"/>
                <w:szCs w:val="20"/>
              </w:rPr>
              <w:t xml:space="preserve"> раста становништва, у односу на претходну годину, негатив</w:t>
            </w:r>
            <w:r w:rsidR="000311C1" w:rsidRPr="003D4F6A">
              <w:rPr>
                <w:rFonts w:ascii="Arial" w:hAnsi="Arial" w:cs="Arial"/>
                <w:sz w:val="20"/>
                <w:szCs w:val="20"/>
              </w:rPr>
              <w:t>ан</w:t>
            </w:r>
            <w:r w:rsidR="000048E2" w:rsidRPr="003D4F6A">
              <w:rPr>
                <w:rFonts w:ascii="Arial" w:hAnsi="Arial" w:cs="Arial"/>
                <w:sz w:val="20"/>
                <w:szCs w:val="20"/>
              </w:rPr>
              <w:t xml:space="preserve"> и износи </w:t>
            </w:r>
            <w:r w:rsidR="000048E2" w:rsidRPr="003D4F6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74E31" w:rsidRPr="003D4F6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048E2" w:rsidRPr="003D4F6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0048E2" w:rsidRPr="003D4F6A">
              <w:rPr>
                <w:rFonts w:ascii="Arial" w:hAnsi="Arial" w:cs="Arial"/>
                <w:b/>
                <w:sz w:val="20"/>
                <w:szCs w:val="20"/>
              </w:rPr>
              <w:t>‰</w:t>
            </w:r>
            <w:r w:rsidR="0015019A" w:rsidRPr="003D4F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2D8D" w:rsidRPr="003D4F6A" w:rsidRDefault="00DD6EDD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6EDD" w:rsidRPr="003D4F6A" w:rsidRDefault="00DD6EDD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У периоду између два последња пописа становништва (2002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–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2011), број становника континуирано опада, а тај тренд се наставља и након 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П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описа 2011. године. </w:t>
            </w:r>
          </w:p>
          <w:p w:rsidR="00DD6EDD" w:rsidRPr="003D4F6A" w:rsidRDefault="00DD6EDD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71B" w:rsidRPr="003D4F6A" w:rsidRDefault="005B771B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3CDA" w:rsidRPr="003D4F6A" w:rsidRDefault="007C24B3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A">
              <w:rPr>
                <w:rFonts w:ascii="Arial" w:hAnsi="Arial" w:cs="Arial"/>
                <w:b/>
                <w:sz w:val="20"/>
                <w:szCs w:val="20"/>
              </w:rPr>
              <w:t>Граф.</w:t>
            </w:r>
            <w:r w:rsidR="00DD6EDD" w:rsidRPr="003D4F6A">
              <w:rPr>
                <w:rFonts w:ascii="Arial" w:hAnsi="Arial" w:cs="Arial"/>
                <w:b/>
                <w:sz w:val="20"/>
                <w:szCs w:val="20"/>
              </w:rPr>
              <w:t xml:space="preserve"> 1. Кретање процењеног броја становника Републике Србије, 2002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DD6EDD" w:rsidRPr="003D4F6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DD6EDD" w:rsidRPr="003D4F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A3E2A" w:rsidRPr="003D4F6A" w:rsidRDefault="005A3E2A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E2A" w:rsidRPr="003D4F6A" w:rsidRDefault="005731B8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A">
              <w:rPr>
                <w:noProof/>
                <w:lang w:val="en-US"/>
              </w:rPr>
              <w:drawing>
                <wp:inline distT="0" distB="0" distL="0" distR="0" wp14:anchorId="4983B2B2" wp14:editId="28C2BB23">
                  <wp:extent cx="5940000" cy="2520000"/>
                  <wp:effectExtent l="0" t="0" r="3810" b="1397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20703" w:rsidRPr="003D4F6A" w:rsidRDefault="00B20703" w:rsidP="000A7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68B" w:rsidRPr="003D4F6A" w:rsidRDefault="004D568B" w:rsidP="000A7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ACC" w:rsidRPr="003D4F6A" w:rsidRDefault="00F74B6F" w:rsidP="00A50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A">
              <w:rPr>
                <w:rFonts w:ascii="Arial" w:hAnsi="Arial" w:cs="Arial"/>
                <w:b/>
                <w:sz w:val="20"/>
                <w:szCs w:val="20"/>
              </w:rPr>
              <w:t>Табела 1. Процењен б</w:t>
            </w:r>
            <w:r w:rsidR="007C24B3" w:rsidRPr="003D4F6A">
              <w:rPr>
                <w:rFonts w:ascii="Arial" w:hAnsi="Arial" w:cs="Arial"/>
                <w:b/>
                <w:sz w:val="20"/>
                <w:szCs w:val="20"/>
              </w:rPr>
              <w:t>рој становника Републике Србије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 xml:space="preserve"> по регионима, средином године</w:t>
            </w:r>
          </w:p>
          <w:tbl>
            <w:tblPr>
              <w:tblW w:w="10088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46"/>
              <w:gridCol w:w="963"/>
              <w:gridCol w:w="965"/>
              <w:gridCol w:w="964"/>
              <w:gridCol w:w="964"/>
              <w:gridCol w:w="964"/>
              <w:gridCol w:w="964"/>
              <w:gridCol w:w="958"/>
            </w:tblGrid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813" w:rsidRPr="003D4F6A" w:rsidRDefault="00397813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7813" w:rsidRPr="003D4F6A" w:rsidRDefault="00397813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7813" w:rsidRPr="003D4F6A" w:rsidRDefault="00397813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7813" w:rsidRPr="003D4F6A" w:rsidRDefault="00397813" w:rsidP="0094253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2017</w:t>
                  </w: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5B771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РЕПУБЛИКА СРБИЈА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680D6D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7236519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680D6D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7201497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680D6D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7166552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680D6D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7131787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680D6D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7095383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680D6D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7058322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680D6D">
                  <w:pPr>
                    <w:ind w:right="113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7020858</w:t>
                  </w: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3D4F6A">
                  <w:pPr>
                    <w:spacing w:before="40" w:after="40"/>
                    <w:ind w:left="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СРБИЈА – СЕВЕР 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3591096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3586235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3581647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3576978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3571596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3565319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3558647</w:t>
                  </w: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3D4F6A">
                  <w:pPr>
                    <w:spacing w:before="40" w:after="40"/>
                    <w:ind w:left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Београдски регион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1658151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1664218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1669552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1675043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1679895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1683962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1687132</w:t>
                  </w: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3D4F6A">
                  <w:pPr>
                    <w:spacing w:before="40" w:after="40"/>
                    <w:ind w:left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Регион Војводине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1932945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1922017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1912095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1901935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1891701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1881357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1871515</w:t>
                  </w: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3D4F6A">
                  <w:pPr>
                    <w:spacing w:before="40" w:after="40"/>
                    <w:ind w:left="113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СРБИЈА – ЈУГ 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3645423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3615262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3584905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3554809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3523787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3493003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3462211</w:t>
                  </w: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3D4F6A">
                  <w:pPr>
                    <w:spacing w:before="40" w:after="40"/>
                    <w:ind w:left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Регион Шумадије и Западне Србије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2033203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2018248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2003118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1987799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1972183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1956786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1941130</w:t>
                  </w: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813" w:rsidRPr="003D4F6A" w:rsidRDefault="00397813" w:rsidP="003D4F6A">
                  <w:pPr>
                    <w:spacing w:before="40" w:after="40"/>
                    <w:ind w:left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Регион Јужне и Источне Србије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1612220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1597014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1581787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1567010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1551604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1536217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1521081</w:t>
                  </w:r>
                </w:p>
              </w:tc>
            </w:tr>
            <w:tr w:rsidR="00397813" w:rsidRPr="003D4F6A" w:rsidTr="00680D6D">
              <w:trPr>
                <w:trHeight w:val="20"/>
                <w:jc w:val="center"/>
              </w:trPr>
              <w:tc>
                <w:tcPr>
                  <w:tcW w:w="165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7813" w:rsidRPr="003D4F6A" w:rsidRDefault="00397813" w:rsidP="003D4F6A">
                  <w:pPr>
                    <w:spacing w:before="40" w:after="40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Регион Косово и Метохија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3D4F6A" w:rsidRDefault="00397813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287EAB" w:rsidRDefault="00287EAB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…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13" w:rsidRPr="00287EAB" w:rsidRDefault="00287EAB" w:rsidP="003D4F6A">
                  <w:pPr>
                    <w:spacing w:before="40" w:after="4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…</w:t>
                  </w:r>
                </w:p>
              </w:tc>
            </w:tr>
          </w:tbl>
          <w:p w:rsidR="002520FA" w:rsidRPr="003D4F6A" w:rsidRDefault="002520FA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1084" w:rsidRPr="003D4F6A" w:rsidRDefault="00F74B6F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И поред смањења укупног броја становника</w:t>
            </w:r>
            <w:r w:rsidR="007B17C6" w:rsidRPr="003D4F6A">
              <w:rPr>
                <w:rFonts w:ascii="Arial" w:hAnsi="Arial" w:cs="Arial"/>
                <w:sz w:val="20"/>
                <w:szCs w:val="20"/>
              </w:rPr>
              <w:t xml:space="preserve"> Републике Србије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Pr="003D4F6A">
              <w:rPr>
                <w:rFonts w:ascii="Arial" w:hAnsi="Arial" w:cs="Arial"/>
                <w:sz w:val="20"/>
                <w:szCs w:val="20"/>
              </w:rPr>
              <w:t>Београдск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ој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и Јужнобачк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ој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област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и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у 201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за</w:t>
            </w:r>
            <w:r w:rsidRPr="003D4F6A">
              <w:rPr>
                <w:rFonts w:ascii="Arial" w:hAnsi="Arial" w:cs="Arial"/>
                <w:sz w:val="20"/>
                <w:szCs w:val="20"/>
              </w:rPr>
              <w:t>бележе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н је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лаган пораст становништва, док је највећи пад у односу на претходну годину забележен у Зајечарској области.    </w:t>
            </w:r>
          </w:p>
          <w:p w:rsidR="000A7EFA" w:rsidRPr="003D4F6A" w:rsidRDefault="0076378B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Просечна старост укупног становништва у Републици Србији константно расте и у 201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. години износи 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годин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 xml:space="preserve"> (мушкарци 41,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 xml:space="preserve"> и жене 4</w:t>
            </w:r>
            <w:r w:rsidR="002520FA" w:rsidRPr="003D4F6A">
              <w:rPr>
                <w:rFonts w:ascii="Arial" w:hAnsi="Arial" w:cs="Arial"/>
                <w:sz w:val="20"/>
                <w:szCs w:val="20"/>
              </w:rPr>
              <w:t>4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). Процес старења становништва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последица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 xml:space="preserve"> је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све мањег удела младог становништва (0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–</w:t>
            </w:r>
            <w:r w:rsidRPr="003D4F6A">
              <w:rPr>
                <w:rFonts w:ascii="Arial" w:hAnsi="Arial" w:cs="Arial"/>
                <w:sz w:val="20"/>
                <w:szCs w:val="20"/>
              </w:rPr>
              <w:t>14 година) у укупном становништву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које у 201</w:t>
            </w:r>
            <w:r w:rsidR="004B416D" w:rsidRPr="003D4F6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. години износи 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14,4</w:t>
            </w:r>
            <w:r w:rsidRPr="003D4F6A">
              <w:rPr>
                <w:rFonts w:ascii="Arial" w:hAnsi="Arial" w:cs="Arial"/>
                <w:sz w:val="20"/>
                <w:szCs w:val="20"/>
              </w:rPr>
              <w:t>%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док је удео старијих од 65 година у укупном становништву 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. Радно способно становништво старости од 15 до 64 године чини 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520FA" w:rsidRPr="003D4F6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укупне популације.</w:t>
            </w:r>
            <w:r w:rsidR="000048E2" w:rsidRPr="003D4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3BF" w:rsidRPr="003D4F6A" w:rsidRDefault="00C533BF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B5045" w:rsidRPr="003D4F6A" w:rsidRDefault="00C533BF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Посматрано на нивоу о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бласти, у Зајечарској области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забележен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 xml:space="preserve"> је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највећи удео старих 65 и више година (2</w:t>
            </w:r>
            <w:r w:rsidR="002B05AE" w:rsidRPr="003D4F6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2B05AE" w:rsidRPr="003D4F6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4F6A">
              <w:rPr>
                <w:rFonts w:ascii="Arial" w:hAnsi="Arial" w:cs="Arial"/>
                <w:sz w:val="20"/>
                <w:szCs w:val="20"/>
              </w:rPr>
              <w:t>%) и истовремено најмањи удео становништва млађег од 15 година (11,</w:t>
            </w:r>
            <w:r w:rsidR="002B05AE" w:rsidRPr="003D4F6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%). 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С</w:t>
            </w:r>
            <w:r w:rsidR="0059434D" w:rsidRPr="003D4F6A">
              <w:rPr>
                <w:rFonts w:ascii="Arial" w:hAnsi="Arial" w:cs="Arial"/>
                <w:sz w:val="20"/>
                <w:szCs w:val="20"/>
              </w:rPr>
              <w:t xml:space="preserve"> друге стране, најмањи удео старих 65 и више година је у Пчињској области (1</w:t>
            </w:r>
            <w:r w:rsidR="002B05AE" w:rsidRPr="003D4F6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59434D" w:rsidRPr="003D4F6A">
              <w:rPr>
                <w:rFonts w:ascii="Arial" w:hAnsi="Arial" w:cs="Arial"/>
                <w:sz w:val="20"/>
                <w:szCs w:val="20"/>
              </w:rPr>
              <w:t>%), али је највећи удео млађих од 15 година најпре у Рашкој области (18,</w:t>
            </w:r>
            <w:r w:rsidR="002B05AE" w:rsidRPr="003D4F6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59434D" w:rsidRPr="003D4F6A">
              <w:rPr>
                <w:rFonts w:ascii="Arial" w:hAnsi="Arial" w:cs="Arial"/>
                <w:sz w:val="20"/>
                <w:szCs w:val="20"/>
              </w:rPr>
              <w:t>%)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59434D" w:rsidRPr="003D4F6A">
              <w:rPr>
                <w:rFonts w:ascii="Arial" w:hAnsi="Arial" w:cs="Arial"/>
                <w:sz w:val="20"/>
                <w:szCs w:val="20"/>
              </w:rPr>
              <w:t xml:space="preserve"> а 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потом</w:t>
            </w:r>
            <w:r w:rsidR="0059434D" w:rsidRPr="003D4F6A">
              <w:rPr>
                <w:rFonts w:ascii="Arial" w:hAnsi="Arial" w:cs="Arial"/>
                <w:sz w:val="20"/>
                <w:szCs w:val="20"/>
              </w:rPr>
              <w:t xml:space="preserve"> у Пчињској </w:t>
            </w:r>
            <w:r w:rsidR="00CB5823" w:rsidRPr="003D4F6A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34D" w:rsidRPr="003D4F6A">
              <w:rPr>
                <w:rFonts w:ascii="Arial" w:hAnsi="Arial" w:cs="Arial"/>
                <w:sz w:val="20"/>
                <w:szCs w:val="20"/>
              </w:rPr>
              <w:t>(1</w:t>
            </w:r>
            <w:r w:rsidR="002B05AE" w:rsidRPr="003D4F6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59434D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2B05AE" w:rsidRPr="003D4F6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9434D" w:rsidRPr="003D4F6A">
              <w:rPr>
                <w:rFonts w:ascii="Arial" w:hAnsi="Arial" w:cs="Arial"/>
                <w:sz w:val="20"/>
                <w:szCs w:val="20"/>
              </w:rPr>
              <w:t xml:space="preserve">%). </w:t>
            </w:r>
          </w:p>
          <w:p w:rsidR="00EB5045" w:rsidRPr="003D4F6A" w:rsidRDefault="00EB5045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71B" w:rsidRPr="003D4F6A" w:rsidRDefault="005B771B" w:rsidP="00A50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5045" w:rsidRPr="003D4F6A" w:rsidRDefault="007C24B3" w:rsidP="00A50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A">
              <w:rPr>
                <w:rFonts w:ascii="Arial" w:hAnsi="Arial" w:cs="Arial"/>
                <w:b/>
                <w:sz w:val="20"/>
                <w:szCs w:val="20"/>
              </w:rPr>
              <w:t>Граф.</w:t>
            </w:r>
            <w:r w:rsidR="00EB5045" w:rsidRPr="003D4F6A">
              <w:rPr>
                <w:rFonts w:ascii="Arial" w:hAnsi="Arial" w:cs="Arial"/>
                <w:b/>
                <w:sz w:val="20"/>
                <w:szCs w:val="20"/>
              </w:rPr>
              <w:t xml:space="preserve"> 2. Удео младог и старог становништва у укупном становништву, по областима, процена средином 201</w:t>
            </w:r>
            <w:r w:rsidR="004B416D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EB5045" w:rsidRPr="003D4F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B5045" w:rsidRPr="003D4F6A" w:rsidRDefault="004B416D" w:rsidP="009E0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noProof/>
                <w:lang w:val="en-US"/>
              </w:rPr>
              <w:drawing>
                <wp:inline distT="0" distB="0" distL="0" distR="0" wp14:anchorId="5C82BA5A" wp14:editId="1E34029D">
                  <wp:extent cx="5943600" cy="4202430"/>
                  <wp:effectExtent l="0" t="0" r="19050" b="2667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0D3B3F" w:rsidRPr="003D4F6A" w:rsidRDefault="000D3B3F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68B" w:rsidRPr="003D4F6A" w:rsidRDefault="004D568B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3BF" w:rsidRPr="003D4F6A" w:rsidRDefault="0059434D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Притисак оваквих демографских трендова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 xml:space="preserve"> највише осликава стопа зависности старог становништва (број старих 65 и више година на 100 лица старости од 15 до 64 године), који је најизразитији у Зајечарској (4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>) и Пиротској (3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>) области, док је најмање оптерећење радне снаге у Пчињској области (2</w:t>
            </w:r>
            <w:r w:rsidR="00F26D2B" w:rsidRPr="003D4F6A">
              <w:rPr>
                <w:rFonts w:ascii="Arial" w:hAnsi="Arial" w:cs="Arial"/>
                <w:sz w:val="20"/>
                <w:szCs w:val="20"/>
              </w:rPr>
              <w:t>1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>). Према проценама у 201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г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 xml:space="preserve">одини, у Републици Србији стопа зависности 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старог становништва износи 2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EB5045" w:rsidRPr="003D4F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2ACA" w:rsidRPr="003D4F6A" w:rsidRDefault="00742ACA" w:rsidP="000A7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3BA" w:rsidRPr="003D4F6A" w:rsidRDefault="00BF2C23" w:rsidP="00BF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Према проценама становништва по типу насеља, у Републици Србији преовлађује градско становништво (</w:t>
            </w:r>
            <w:r w:rsidR="00F26D2B" w:rsidRPr="003D4F6A">
              <w:rPr>
                <w:rFonts w:ascii="Arial" w:hAnsi="Arial" w:cs="Arial"/>
                <w:sz w:val="20"/>
                <w:szCs w:val="20"/>
              </w:rPr>
              <w:t>60</w:t>
            </w:r>
            <w:r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4F6A">
              <w:rPr>
                <w:rFonts w:ascii="Arial" w:hAnsi="Arial" w:cs="Arial"/>
                <w:sz w:val="20"/>
                <w:szCs w:val="20"/>
              </w:rPr>
              <w:t>%). Градско становништво је демографски млађе од становништва осталих насеља, просечна старост градског становништва је мања од просечне старости становништва у тзв. осталим насељима, а разлика је 2,</w:t>
            </w:r>
            <w:r w:rsidR="004E5462" w:rsidRPr="003D4F6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године.</w:t>
            </w:r>
          </w:p>
          <w:p w:rsidR="002520FA" w:rsidRPr="003D4F6A" w:rsidRDefault="002520FA" w:rsidP="00BF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99D" w:rsidRPr="003D4F6A" w:rsidRDefault="0028699D" w:rsidP="00BF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68B" w:rsidRPr="003D4F6A" w:rsidRDefault="004D568B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120" w:rsidRPr="003D4F6A" w:rsidRDefault="00302120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99D" w:rsidRPr="003D4F6A" w:rsidRDefault="0028699D" w:rsidP="009E07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F6A">
              <w:rPr>
                <w:rFonts w:ascii="Arial" w:hAnsi="Arial" w:cs="Arial"/>
                <w:b/>
                <w:sz w:val="20"/>
                <w:szCs w:val="20"/>
              </w:rPr>
              <w:t xml:space="preserve">Табела </w:t>
            </w:r>
            <w:r w:rsidR="005B771B" w:rsidRPr="003D4F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D4F6A">
              <w:rPr>
                <w:rFonts w:ascii="Arial" w:hAnsi="Arial" w:cs="Arial"/>
                <w:b/>
                <w:sz w:val="20"/>
                <w:szCs w:val="20"/>
              </w:rPr>
              <w:t>. Процена ста</w:t>
            </w:r>
            <w:r w:rsidR="00895712" w:rsidRPr="003D4F6A">
              <w:rPr>
                <w:rFonts w:ascii="Arial" w:hAnsi="Arial" w:cs="Arial"/>
                <w:b/>
                <w:sz w:val="20"/>
                <w:szCs w:val="20"/>
              </w:rPr>
              <w:t>новништва</w:t>
            </w:r>
            <w:r w:rsidR="007C24B3" w:rsidRPr="003D4F6A">
              <w:rPr>
                <w:rFonts w:ascii="Arial" w:hAnsi="Arial" w:cs="Arial"/>
                <w:b/>
                <w:sz w:val="20"/>
                <w:szCs w:val="20"/>
              </w:rPr>
              <w:t xml:space="preserve"> по типу насеља</w:t>
            </w:r>
            <w:r w:rsidR="00895712" w:rsidRPr="003D4F6A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4E5462" w:rsidRPr="003D4F6A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895712" w:rsidRPr="003D4F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D568B" w:rsidRPr="003D4F6A" w:rsidRDefault="004D568B" w:rsidP="009E073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8699D" w:rsidRPr="003D4F6A" w:rsidRDefault="007C24B3" w:rsidP="00BF2C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4F6A">
              <w:rPr>
                <w:rFonts w:ascii="Arial" w:hAnsi="Arial" w:cs="Arial"/>
                <w:b/>
                <w:sz w:val="18"/>
                <w:szCs w:val="18"/>
              </w:rPr>
              <w:t>Република Србија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1627"/>
              <w:gridCol w:w="1792"/>
              <w:gridCol w:w="1627"/>
              <w:gridCol w:w="1627"/>
              <w:gridCol w:w="1780"/>
            </w:tblGrid>
            <w:tr w:rsidR="0015019A" w:rsidRPr="003D4F6A" w:rsidTr="00E35F65">
              <w:trPr>
                <w:trHeight w:val="259"/>
              </w:trPr>
              <w:tc>
                <w:tcPr>
                  <w:tcW w:w="807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3D4F6A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" w:name="RANGE!B3"/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Тип насеља</w:t>
                  </w:r>
                  <w:bookmarkEnd w:id="1"/>
                </w:p>
              </w:tc>
              <w:tc>
                <w:tcPr>
                  <w:tcW w:w="8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3D4F6A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Пол</w:t>
                  </w:r>
                </w:p>
              </w:tc>
              <w:tc>
                <w:tcPr>
                  <w:tcW w:w="88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3D4F6A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Број становника</w:t>
                  </w:r>
                </w:p>
              </w:tc>
              <w:tc>
                <w:tcPr>
                  <w:tcW w:w="8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3D4F6A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Просечна старост</w:t>
                  </w:r>
                </w:p>
                <w:p w:rsidR="00B20703" w:rsidRPr="003D4F6A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703" w:rsidRPr="003D4F6A" w:rsidRDefault="0028699D" w:rsidP="002869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Индекс старења</w:t>
                  </w:r>
                  <w:r w:rsidRPr="003D4F6A">
                    <w:rPr>
                      <w:rStyle w:val="FootnoteReference"/>
                      <w:rFonts w:ascii="Arial" w:hAnsi="Arial" w:cs="Arial"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883" w:type="pc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0703" w:rsidRPr="003D4F6A" w:rsidRDefault="00B20703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Стопа зависности становништва старог 65 и више година</w:t>
                  </w: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Свега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7020858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43,0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141,6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29,8</w:t>
                  </w: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E5462" w:rsidRPr="003D4F6A" w:rsidRDefault="004E5462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Мушко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3419815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120,9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25,4</w:t>
                  </w: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E5462" w:rsidRPr="003D4F6A" w:rsidRDefault="004E5462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Женско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3601043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163,4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34,1</w:t>
                  </w:r>
                </w:p>
              </w:tc>
            </w:tr>
            <w:tr w:rsidR="004E5462" w:rsidRPr="003D4F6A" w:rsidTr="00E35F65">
              <w:trPr>
                <w:trHeight w:val="20"/>
              </w:trPr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E5462" w:rsidRPr="003D4F6A" w:rsidRDefault="004E5462" w:rsidP="005B771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Градска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Свега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4256129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127,6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27,1</w:t>
                  </w: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E5462" w:rsidRPr="003D4F6A" w:rsidRDefault="004E5462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Мушко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2027177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105,2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23,1</w:t>
                  </w: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E5462" w:rsidRPr="003D4F6A" w:rsidRDefault="004E5462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Женско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2228952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43,5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151,3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30,9</w:t>
                  </w:r>
                </w:p>
              </w:tc>
            </w:tr>
            <w:tr w:rsidR="004E5462" w:rsidRPr="003D4F6A" w:rsidTr="00E35F65">
              <w:trPr>
                <w:trHeight w:val="20"/>
              </w:trPr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E5462" w:rsidRPr="003D4F6A" w:rsidRDefault="004E5462" w:rsidP="005B771B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Остала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Свега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2764729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44,6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165,2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33,9</w:t>
                  </w: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E5462" w:rsidRPr="003D4F6A" w:rsidRDefault="004E5462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Мушко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1392638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43,4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147,4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28,9</w:t>
                  </w:r>
                </w:p>
              </w:tc>
            </w:tr>
            <w:tr w:rsidR="004E5462" w:rsidRPr="003D4F6A" w:rsidTr="00E35F65">
              <w:trPr>
                <w:trHeight w:val="259"/>
              </w:trPr>
              <w:tc>
                <w:tcPr>
                  <w:tcW w:w="807" w:type="pct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E5462" w:rsidRPr="003D4F6A" w:rsidRDefault="004E5462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5B77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Женско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1372091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45,8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184,0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5462" w:rsidRPr="003D4F6A" w:rsidRDefault="004E5462" w:rsidP="00650C3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39,4</w:t>
                  </w:r>
                </w:p>
              </w:tc>
            </w:tr>
          </w:tbl>
          <w:p w:rsidR="00B04E2E" w:rsidRPr="003D4F6A" w:rsidRDefault="00B04E2E" w:rsidP="00803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CB5823" w:rsidRPr="003D4F6A" w:rsidRDefault="00CB5823" w:rsidP="0006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F6A">
              <w:rPr>
                <w:rFonts w:ascii="Arial" w:hAnsi="Arial" w:cs="Arial"/>
                <w:sz w:val="20"/>
                <w:szCs w:val="20"/>
              </w:rPr>
              <w:t>Од укупног броја о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пштина у Републици Србији (16</w:t>
            </w:r>
            <w:r w:rsidR="00F26D2B" w:rsidRPr="003D4F6A">
              <w:rPr>
                <w:rFonts w:ascii="Arial" w:hAnsi="Arial" w:cs="Arial"/>
                <w:sz w:val="20"/>
                <w:szCs w:val="20"/>
              </w:rPr>
              <w:t>9</w:t>
            </w:r>
            <w:r w:rsidR="007C24B3" w:rsidRPr="003D4F6A">
              <w:rPr>
                <w:rFonts w:ascii="Arial" w:hAnsi="Arial" w:cs="Arial"/>
                <w:sz w:val="20"/>
                <w:szCs w:val="20"/>
              </w:rPr>
              <w:t>)</w:t>
            </w:r>
            <w:r w:rsidR="00895712" w:rsidRPr="003D4F6A">
              <w:rPr>
                <w:rFonts w:ascii="Arial" w:hAnsi="Arial" w:cs="Arial"/>
                <w:sz w:val="20"/>
                <w:szCs w:val="20"/>
              </w:rPr>
              <w:t>,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само д</w:t>
            </w:r>
            <w:r w:rsidR="00065AB1" w:rsidRPr="003D4F6A">
              <w:rPr>
                <w:rFonts w:ascii="Arial" w:hAnsi="Arial" w:cs="Arial"/>
                <w:sz w:val="20"/>
                <w:szCs w:val="20"/>
              </w:rPr>
              <w:t>еветнаест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општина</w:t>
            </w:r>
            <w:r w:rsidR="000D3B3F" w:rsidRPr="003D4F6A">
              <w:rPr>
                <w:rFonts w:ascii="Arial" w:hAnsi="Arial" w:cs="Arial"/>
                <w:sz w:val="20"/>
                <w:szCs w:val="20"/>
              </w:rPr>
              <w:t>/градова</w:t>
            </w:r>
            <w:r w:rsidRPr="003D4F6A">
              <w:rPr>
                <w:rFonts w:ascii="Arial" w:hAnsi="Arial" w:cs="Arial"/>
                <w:sz w:val="20"/>
                <w:szCs w:val="20"/>
              </w:rPr>
              <w:t xml:space="preserve"> има више од 100</w:t>
            </w:r>
            <w:r w:rsidR="00895712" w:rsidRPr="003D4F6A">
              <w:rPr>
                <w:rFonts w:ascii="Arial" w:hAnsi="Arial" w:cs="Arial"/>
                <w:sz w:val="20"/>
                <w:szCs w:val="20"/>
              </w:rPr>
              <w:t>.</w:t>
            </w:r>
            <w:r w:rsidRPr="003D4F6A">
              <w:rPr>
                <w:rFonts w:ascii="Arial" w:hAnsi="Arial" w:cs="Arial"/>
                <w:sz w:val="20"/>
                <w:szCs w:val="20"/>
              </w:rPr>
              <w:t>000 становника</w:t>
            </w:r>
            <w:r w:rsidR="00576E7E" w:rsidRPr="003D4F6A">
              <w:rPr>
                <w:rFonts w:ascii="Arial" w:hAnsi="Arial" w:cs="Arial"/>
                <w:sz w:val="20"/>
                <w:szCs w:val="20"/>
              </w:rPr>
              <w:t xml:space="preserve">, док је у </w:t>
            </w:r>
            <w:r w:rsidR="00182196" w:rsidRPr="003D4F6A">
              <w:rPr>
                <w:rFonts w:ascii="Arial" w:hAnsi="Arial" w:cs="Arial"/>
                <w:sz w:val="20"/>
                <w:szCs w:val="20"/>
              </w:rPr>
              <w:t>седам</w:t>
            </w:r>
            <w:r w:rsidR="00065AB1" w:rsidRPr="003D4F6A">
              <w:rPr>
                <w:rFonts w:ascii="Arial" w:hAnsi="Arial" w:cs="Arial"/>
                <w:sz w:val="20"/>
                <w:szCs w:val="20"/>
              </w:rPr>
              <w:t>наест</w:t>
            </w:r>
            <w:r w:rsidR="00576E7E" w:rsidRPr="003D4F6A">
              <w:rPr>
                <w:rFonts w:ascii="Arial" w:hAnsi="Arial" w:cs="Arial"/>
                <w:sz w:val="20"/>
                <w:szCs w:val="20"/>
              </w:rPr>
              <w:t xml:space="preserve"> општина број становника мањи од 10</w:t>
            </w:r>
            <w:r w:rsidR="00895712" w:rsidRPr="003D4F6A">
              <w:rPr>
                <w:rFonts w:ascii="Arial" w:hAnsi="Arial" w:cs="Arial"/>
                <w:sz w:val="20"/>
                <w:szCs w:val="20"/>
              </w:rPr>
              <w:t>.</w:t>
            </w:r>
            <w:r w:rsidR="00576E7E" w:rsidRPr="003D4F6A">
              <w:rPr>
                <w:rFonts w:ascii="Arial" w:hAnsi="Arial" w:cs="Arial"/>
                <w:sz w:val="20"/>
                <w:szCs w:val="20"/>
              </w:rPr>
              <w:t>000.</w:t>
            </w:r>
          </w:p>
          <w:p w:rsidR="00B31347" w:rsidRPr="003D4F6A" w:rsidRDefault="00B31347"/>
          <w:tbl>
            <w:tblPr>
              <w:tblW w:w="7521" w:type="dxa"/>
              <w:tblLook w:val="04A0" w:firstRow="1" w:lastRow="0" w:firstColumn="1" w:lastColumn="0" w:noHBand="0" w:noVBand="1"/>
            </w:tblPr>
            <w:tblGrid>
              <w:gridCol w:w="2297"/>
              <w:gridCol w:w="1478"/>
              <w:gridCol w:w="2268"/>
              <w:gridCol w:w="1478"/>
            </w:tblGrid>
            <w:tr w:rsidR="00B31347" w:rsidRPr="003D4F6A" w:rsidTr="00B31347">
              <w:trPr>
                <w:trHeight w:val="288"/>
              </w:trPr>
              <w:tc>
                <w:tcPr>
                  <w:tcW w:w="3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347" w:rsidRPr="003D4F6A" w:rsidRDefault="00B31347" w:rsidP="005B771B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Општине/градови са </w:t>
                  </w:r>
                  <w:r w:rsidR="005B771B" w:rsidRPr="003D4F6A">
                    <w:rPr>
                      <w:rFonts w:ascii="Arial" w:hAnsi="Arial" w:cs="Arial"/>
                      <w:sz w:val="16"/>
                      <w:szCs w:val="16"/>
                    </w:rPr>
                    <w:t>више од</w:t>
                  </w: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100000 становника</w:t>
                  </w:r>
                </w:p>
              </w:tc>
              <w:tc>
                <w:tcPr>
                  <w:tcW w:w="374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47" w:rsidRPr="003D4F6A" w:rsidRDefault="00B31347" w:rsidP="005B771B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Општине/градови са </w:t>
                  </w:r>
                  <w:r w:rsidR="005B771B" w:rsidRPr="003D4F6A">
                    <w:rPr>
                      <w:rFonts w:ascii="Arial" w:hAnsi="Arial" w:cs="Arial"/>
                      <w:sz w:val="16"/>
                      <w:szCs w:val="16"/>
                    </w:rPr>
                    <w:t>мање од</w:t>
                  </w: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10000 становника</w:t>
                  </w:r>
                </w:p>
              </w:tc>
            </w:tr>
            <w:tr w:rsidR="005B771B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71B" w:rsidRPr="003D4F6A" w:rsidRDefault="00065AB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5B771B"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Нови Сад 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71B" w:rsidRPr="003D4F6A" w:rsidRDefault="005B771B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065AB1" w:rsidRPr="003D4F6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071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B771B" w:rsidRPr="003D4F6A" w:rsidRDefault="005B771B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Црна Трава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B771B" w:rsidRPr="003D4F6A" w:rsidRDefault="005B771B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278</w:t>
                  </w:r>
                </w:p>
              </w:tc>
            </w:tr>
            <w:tr w:rsidR="00065AB1" w:rsidRPr="003D4F6A" w:rsidTr="00065AB1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Београд – Нови Београд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3985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Трговиште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620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1821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Београд – 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Палилула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81414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Медвеђа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706</w:t>
                  </w:r>
                </w:p>
              </w:tc>
            </w:tr>
            <w:tr w:rsidR="00065AB1" w:rsidRPr="003D4F6A" w:rsidTr="00065AB1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065AB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Крагујевац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7977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Севојно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722</w:t>
                  </w:r>
                </w:p>
              </w:tc>
            </w:tr>
            <w:tr w:rsidR="00065AB1" w:rsidRPr="003D4F6A" w:rsidTr="00065AB1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1821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Београд – Чукарица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7586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Гаџин Хан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098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Београд – Земун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3460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Босилеград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304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Београд – Вождовац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8242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Лапово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307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Београд – Звездара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63542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Голубац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541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E35F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Суботица</w:t>
                  </w: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2B5924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  <w:r w:rsidR="002B5924" w:rsidRPr="003D4F6A">
                    <w:rPr>
                      <w:rFonts w:ascii="Arial" w:hAnsi="Arial" w:cs="Arial"/>
                      <w:sz w:val="16"/>
                      <w:szCs w:val="16"/>
                    </w:rPr>
                    <w:t>7753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Ражањ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176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Лесковац</w:t>
                  </w: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36888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065AB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Сремски Карловци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431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E35F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Крушевац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2437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Ћићевац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711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E35F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Панчево</w:t>
                  </w: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0361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Врањска Бања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182196" w:rsidP="00E35F65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8941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Краљево</w:t>
                  </w: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19585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Димитровград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182196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182196" w:rsidRPr="003D4F6A">
                    <w:rPr>
                      <w:rFonts w:ascii="Arial" w:hAnsi="Arial" w:cs="Arial"/>
                      <w:sz w:val="16"/>
                      <w:szCs w:val="16"/>
                    </w:rPr>
                    <w:t>367</w:t>
                  </w:r>
                </w:p>
              </w:tc>
            </w:tr>
            <w:tr w:rsidR="00065AB1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E35F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Зрењанин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7735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DC05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DC05DB"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Нова Црња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65AB1" w:rsidRPr="003D4F6A" w:rsidRDefault="00065AB1" w:rsidP="00DC05DB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C05DB" w:rsidRPr="003D4F6A">
                    <w:rPr>
                      <w:rFonts w:ascii="Arial" w:hAnsi="Arial" w:cs="Arial"/>
                      <w:sz w:val="16"/>
                      <w:szCs w:val="16"/>
                    </w:rPr>
                    <w:t>421</w:t>
                  </w:r>
                </w:p>
              </w:tc>
            </w:tr>
            <w:tr w:rsidR="00181EC2" w:rsidRPr="003D4F6A" w:rsidTr="004D568B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EC2" w:rsidRPr="003D4F6A" w:rsidRDefault="00181EC2" w:rsidP="00E35F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Шабац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EC2" w:rsidRPr="003D4F6A" w:rsidRDefault="00181EC2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111709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181EC2" w:rsidRPr="003D4F6A" w:rsidRDefault="00181EC2" w:rsidP="00BD7A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Рековац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81EC2" w:rsidRPr="003D4F6A" w:rsidRDefault="00181EC2" w:rsidP="00BD7A3F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9552</w:t>
                  </w:r>
                </w:p>
              </w:tc>
            </w:tr>
            <w:tr w:rsidR="00181EC2" w:rsidRPr="003D4F6A" w:rsidTr="003D4F6A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EC2" w:rsidRPr="003D4F6A" w:rsidRDefault="00181EC2" w:rsidP="00E35F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Чачак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EC2" w:rsidRPr="003D4F6A" w:rsidRDefault="00181EC2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111075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right w:val="single" w:sz="4" w:space="0" w:color="auto"/>
                  </w:tcBorders>
                  <w:vAlign w:val="bottom"/>
                </w:tcPr>
                <w:p w:rsidR="00181EC2" w:rsidRPr="003D4F6A" w:rsidRDefault="00181EC2" w:rsidP="00BD7A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Опово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single" w:sz="4" w:space="0" w:color="auto"/>
                  </w:tcBorders>
                  <w:vAlign w:val="bottom"/>
                </w:tcPr>
                <w:p w:rsidR="00181EC2" w:rsidRPr="003D4F6A" w:rsidRDefault="00181EC2" w:rsidP="00BD7A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9826</w:t>
                  </w:r>
                </w:p>
              </w:tc>
            </w:tr>
            <w:tr w:rsidR="00181EC2" w:rsidRPr="003D4F6A" w:rsidTr="003D4F6A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EC2" w:rsidRPr="003D4F6A" w:rsidRDefault="00181EC2" w:rsidP="00CB0F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Београд – Раковица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EC2" w:rsidRPr="003D4F6A" w:rsidRDefault="00181EC2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108477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1EC2" w:rsidRPr="003D4F6A" w:rsidRDefault="00181EC2" w:rsidP="00BD7A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Жабари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1EC2" w:rsidRPr="003D4F6A" w:rsidRDefault="00181EC2" w:rsidP="00BD7A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9832</w:t>
                  </w:r>
                </w:p>
              </w:tc>
            </w:tr>
            <w:tr w:rsidR="00065AB1" w:rsidRPr="003D4F6A" w:rsidTr="003D4F6A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F34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Нови Пазар</w:t>
                  </w: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F3415A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105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double" w:sz="4" w:space="0" w:color="auto"/>
                  </w:tcBorders>
                  <w:vAlign w:val="bottom"/>
                </w:tcPr>
                <w:p w:rsidR="00065AB1" w:rsidRPr="003D4F6A" w:rsidRDefault="00065AB1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</w:tcBorders>
                  <w:vAlign w:val="bottom"/>
                </w:tcPr>
                <w:p w:rsidR="00065AB1" w:rsidRPr="003D4F6A" w:rsidRDefault="00065AB1" w:rsidP="005B771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5AB1" w:rsidRPr="003D4F6A" w:rsidTr="003D4F6A">
              <w:trPr>
                <w:trHeight w:val="25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3D4F6A">
                  <w:pPr>
                    <w:spacing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Смедерево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AB1" w:rsidRPr="003D4F6A" w:rsidRDefault="00065AB1" w:rsidP="003D4F6A">
                  <w:pPr>
                    <w:spacing w:after="20"/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4F6A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F3415A" w:rsidRPr="003D4F6A">
                    <w:rPr>
                      <w:rFonts w:ascii="Arial" w:hAnsi="Arial" w:cs="Arial"/>
                      <w:sz w:val="16"/>
                      <w:szCs w:val="16"/>
                    </w:rPr>
                    <w:t>4125</w:t>
                  </w:r>
                </w:p>
              </w:tc>
              <w:tc>
                <w:tcPr>
                  <w:tcW w:w="2268" w:type="dxa"/>
                  <w:tcBorders>
                    <w:left w:val="double" w:sz="4" w:space="0" w:color="auto"/>
                    <w:bottom w:val="nil"/>
                  </w:tcBorders>
                  <w:vAlign w:val="bottom"/>
                </w:tcPr>
                <w:p w:rsidR="00065AB1" w:rsidRPr="003D4F6A" w:rsidRDefault="00065AB1" w:rsidP="005B77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tcBorders>
                    <w:bottom w:val="nil"/>
                  </w:tcBorders>
                  <w:vAlign w:val="bottom"/>
                </w:tcPr>
                <w:p w:rsidR="00065AB1" w:rsidRPr="003D4F6A" w:rsidRDefault="00065AB1" w:rsidP="005B771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31347" w:rsidRPr="003D4F6A" w:rsidRDefault="00B31347"/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4"/>
              <w:gridCol w:w="5336"/>
            </w:tblGrid>
            <w:tr w:rsidR="0015019A" w:rsidRPr="003D4F6A" w:rsidTr="00F2505C">
              <w:tc>
                <w:tcPr>
                  <w:tcW w:w="4744" w:type="dxa"/>
                  <w:tcBorders>
                    <w:bottom w:val="nil"/>
                  </w:tcBorders>
                </w:tcPr>
                <w:p w:rsidR="00C85DA5" w:rsidRPr="003D4F6A" w:rsidRDefault="00C85DA5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Контакт:</w:t>
                  </w:r>
                </w:p>
                <w:p w:rsidR="00C85DA5" w:rsidRPr="003D4F6A" w:rsidRDefault="00C85DA5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5DA5" w:rsidRPr="003D4F6A" w:rsidRDefault="00C8415C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D4F6A">
                    <w:rPr>
                      <w:rFonts w:ascii="Arial" w:hAnsi="Arial" w:cs="Arial"/>
                      <w:sz w:val="20"/>
                      <w:szCs w:val="20"/>
                    </w:rPr>
                    <w:t>Љиљана Секулић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руководилац</w:t>
                  </w:r>
                </w:p>
                <w:p w:rsidR="00C85DA5" w:rsidRPr="003D4F6A" w:rsidRDefault="00C8415C" w:rsidP="005B77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F6A">
                    <w:rPr>
                      <w:rFonts w:ascii="Arial" w:hAnsi="Arial" w:cs="Arial"/>
                      <w:sz w:val="20"/>
                      <w:szCs w:val="20"/>
                    </w:rPr>
                    <w:t>Група за израду процена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</w:rPr>
                    <w:t>, пр</w:t>
                  </w:r>
                  <w:r w:rsidRPr="003D4F6A">
                    <w:rPr>
                      <w:rFonts w:ascii="Arial" w:hAnsi="Arial" w:cs="Arial"/>
                      <w:sz w:val="20"/>
                      <w:szCs w:val="20"/>
                    </w:rPr>
                    <w:t>ојекција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3D4F6A">
                    <w:rPr>
                      <w:rFonts w:ascii="Arial" w:hAnsi="Arial" w:cs="Arial"/>
                      <w:sz w:val="20"/>
                      <w:szCs w:val="20"/>
                    </w:rPr>
                    <w:t>других демографских индикатора</w:t>
                  </w:r>
                </w:p>
                <w:p w:rsidR="00C85DA5" w:rsidRPr="003D4F6A" w:rsidRDefault="007C24B3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ел</w:t>
                  </w: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: +381 11 24</w:t>
                  </w:r>
                  <w:r w:rsidR="00586649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</w:t>
                  </w:r>
                  <w:r w:rsidR="00C8415C" w:rsidRPr="003D4F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 w:rsidR="00C8415C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922</w:t>
                  </w: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,</w:t>
                  </w:r>
                  <w:r w:rsidR="00C8415C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локал 295</w:t>
                  </w:r>
                </w:p>
                <w:p w:rsidR="00C85DA5" w:rsidRPr="003D4F6A" w:rsidRDefault="00514307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1" w:history="1">
                    <w:r w:rsidR="00C8415C" w:rsidRPr="003D4F6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ljiljana.sekulic@stat.gov.rs</w:t>
                    </w:r>
                  </w:hyperlink>
                </w:p>
                <w:p w:rsidR="00C85DA5" w:rsidRPr="003D4F6A" w:rsidRDefault="00C85DA5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C85DA5" w:rsidRPr="003D4F6A" w:rsidRDefault="00C85DA5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Група за информисање и дисеминацију </w:t>
                  </w:r>
                </w:p>
                <w:p w:rsidR="00C85DA5" w:rsidRPr="003D4F6A" w:rsidRDefault="007C24B3" w:rsidP="005B771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ел</w:t>
                  </w: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.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: +381 11 24</w:t>
                  </w:r>
                  <w:r w:rsidR="00586649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-</w:t>
                  </w:r>
                  <w:r w:rsidR="00C85DA5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01-284</w:t>
                  </w:r>
                </w:p>
                <w:p w:rsidR="00C85DA5" w:rsidRDefault="00514307" w:rsidP="004D568B">
                  <w:pPr>
                    <w:jc w:val="both"/>
                    <w:rPr>
                      <w:rStyle w:val="Hyperlink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hyperlink r:id="rId12" w:history="1">
                    <w:r w:rsidR="00C85DA5" w:rsidRPr="003D4F6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stat</w:t>
                    </w:r>
                    <w:r w:rsidR="00C85DA5" w:rsidRPr="003D4F6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lang w:val="ru-RU"/>
                      </w:rPr>
                      <w:t>@</w:t>
                    </w:r>
                    <w:r w:rsidR="00C85DA5" w:rsidRPr="003D4F6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stat.gov.rs</w:t>
                    </w:r>
                  </w:hyperlink>
                </w:p>
                <w:p w:rsidR="00F2505C" w:rsidRPr="003D4F6A" w:rsidRDefault="00F2505C" w:rsidP="004D568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336" w:type="dxa"/>
                  <w:tcBorders>
                    <w:bottom w:val="nil"/>
                  </w:tcBorders>
                </w:tcPr>
                <w:p w:rsidR="00C85DA5" w:rsidRPr="003D4F6A" w:rsidRDefault="00C85DA5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D4F6A"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  <w:t xml:space="preserve">   </w:t>
                  </w:r>
                </w:p>
                <w:p w:rsidR="00C85DA5" w:rsidRPr="003D4F6A" w:rsidRDefault="00C85DA5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85DA5" w:rsidRPr="003D4F6A" w:rsidRDefault="00C85DA5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E2E" w:rsidRDefault="00B04E2E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2505C" w:rsidRPr="003D4F6A" w:rsidRDefault="00F2505C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A21DE" w:rsidRPr="003D4F6A" w:rsidRDefault="00DA21DE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E2E" w:rsidRPr="003D4F6A" w:rsidRDefault="00B04E2E" w:rsidP="005B771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85DA5" w:rsidRPr="003D4F6A" w:rsidRDefault="00287A92" w:rsidP="005B77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4F6A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586649" w:rsidRPr="003D4F6A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</w:t>
                  </w:r>
                  <w:r w:rsidRPr="003D4F6A">
                    <w:rPr>
                      <w:rFonts w:ascii="Arial" w:hAnsi="Arial" w:cs="Arial"/>
                      <w:sz w:val="20"/>
                      <w:szCs w:val="20"/>
                    </w:rPr>
                    <w:t xml:space="preserve"> Директор</w:t>
                  </w:r>
                </w:p>
                <w:p w:rsidR="00C85DA5" w:rsidRPr="003D4F6A" w:rsidRDefault="00C85DA5" w:rsidP="005B77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85DA5" w:rsidRPr="003D4F6A" w:rsidRDefault="00C85DA5" w:rsidP="00302120">
                  <w:pPr>
                    <w:ind w:left="972"/>
                    <w:jc w:val="both"/>
                    <w:rPr>
                      <w:rFonts w:ascii="Tahoma" w:hAnsi="Tahoma" w:cs="Tahoma"/>
                      <w:sz w:val="20"/>
                      <w:szCs w:val="20"/>
                      <w:lang w:val="ru-RU"/>
                    </w:rPr>
                  </w:pP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</w:t>
                  </w:r>
                  <w:r w:rsidRPr="003D4F6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   </w:t>
                  </w:r>
                  <w:r w:rsidR="00DA21DE" w:rsidRPr="003D4F6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  </w:t>
                  </w:r>
                  <w:r w:rsidR="00586649" w:rsidRPr="003D4F6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                 </w:t>
                  </w:r>
                  <w:r w:rsidR="00DA21DE" w:rsidRPr="003D4F6A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 </w:t>
                  </w:r>
                  <w:r w:rsidR="00C8415C"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</w:t>
                  </w:r>
                  <w:r w:rsidRPr="003D4F6A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</w:t>
                  </w:r>
                  <w:r w:rsidR="00680D6D" w:rsidRPr="003D4F6A">
                    <w:rPr>
                      <w:rFonts w:ascii="Arial" w:hAnsi="Arial" w:cs="Arial"/>
                      <w:sz w:val="20"/>
                      <w:szCs w:val="20"/>
                      <w:lang w:val="sr-Latn-RS"/>
                    </w:rPr>
                    <w:t xml:space="preserve"> </w:t>
                  </w:r>
                  <w:r w:rsidR="00C8415C" w:rsidRPr="003D4F6A">
                    <w:rPr>
                      <w:rFonts w:ascii="Arial" w:hAnsi="Arial" w:cs="Arial"/>
                      <w:sz w:val="20"/>
                      <w:szCs w:val="20"/>
                    </w:rPr>
                    <w:t>Миладин Ковачевић</w:t>
                  </w:r>
                </w:p>
              </w:tc>
            </w:tr>
          </w:tbl>
          <w:p w:rsidR="00CB5A51" w:rsidRPr="003D4F6A" w:rsidRDefault="00CB5A51" w:rsidP="00072A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A88" w:rsidRPr="003D4F6A" w:rsidTr="004D568B">
        <w:tc>
          <w:tcPr>
            <w:tcW w:w="10296" w:type="dxa"/>
            <w:tcBorders>
              <w:top w:val="nil"/>
              <w:bottom w:val="nil"/>
            </w:tcBorders>
          </w:tcPr>
          <w:p w:rsidR="00072A88" w:rsidRPr="003D4F6A" w:rsidRDefault="00072A88" w:rsidP="003447B6">
            <w:pPr>
              <w:jc w:val="right"/>
              <w:rPr>
                <w:rFonts w:ascii="Tahoma" w:hAnsi="Tahoma" w:cs="Tahoma"/>
                <w:sz w:val="6"/>
                <w:szCs w:val="6"/>
                <w:lang w:val="sr-Latn-CS"/>
              </w:rPr>
            </w:pPr>
          </w:p>
        </w:tc>
      </w:tr>
    </w:tbl>
    <w:p w:rsidR="00CB5A51" w:rsidRPr="004D568B" w:rsidRDefault="00CB5A51" w:rsidP="00551474">
      <w:pPr>
        <w:rPr>
          <w:rFonts w:ascii="Tahoma" w:hAnsi="Tahoma" w:cs="Tahoma"/>
          <w:sz w:val="2"/>
          <w:szCs w:val="2"/>
          <w:lang w:val="sr-Cyrl-CS"/>
        </w:rPr>
      </w:pPr>
    </w:p>
    <w:sectPr w:rsidR="00CB5A51" w:rsidRPr="004D568B" w:rsidSect="00B94D30">
      <w:headerReference w:type="default" r:id="rId13"/>
      <w:headerReference w:type="first" r:id="rId14"/>
      <w:footerReference w:type="first" r:id="rId15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07" w:rsidRDefault="00514307">
      <w:r>
        <w:separator/>
      </w:r>
    </w:p>
  </w:endnote>
  <w:endnote w:type="continuationSeparator" w:id="0">
    <w:p w:rsidR="00514307" w:rsidRDefault="0051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5B771B" w:rsidRPr="003447B6" w:rsidTr="005B771B">
      <w:tc>
        <w:tcPr>
          <w:tcW w:w="4788" w:type="dxa"/>
        </w:tcPr>
        <w:p w:rsidR="005B771B" w:rsidRPr="003447B6" w:rsidRDefault="005B771B" w:rsidP="005B771B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</w:tcPr>
        <w:p w:rsidR="005B771B" w:rsidRPr="003447B6" w:rsidRDefault="005B771B" w:rsidP="005B771B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5B771B" w:rsidRPr="003447B6" w:rsidTr="005B77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5B771B" w:rsidRPr="000A08E1" w:rsidRDefault="005B771B" w:rsidP="005B771B">
          <w:pPr>
            <w:jc w:val="both"/>
            <w:rPr>
              <w:rFonts w:ascii="Tahoma" w:hAnsi="Tahoma" w:cs="Tahoma"/>
              <w:color w:val="000000" w:themeColor="text1"/>
              <w:sz w:val="22"/>
              <w:szCs w:val="22"/>
              <w:lang w:val="sr-Cyrl-CS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5B771B" w:rsidRPr="003447B6" w:rsidRDefault="005B771B" w:rsidP="005B771B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5B771B" w:rsidRPr="000A7EFA" w:rsidRDefault="005B771B" w:rsidP="000A7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07" w:rsidRDefault="00514307">
      <w:r>
        <w:separator/>
      </w:r>
    </w:p>
  </w:footnote>
  <w:footnote w:type="continuationSeparator" w:id="0">
    <w:p w:rsidR="00514307" w:rsidRDefault="00514307">
      <w:r>
        <w:continuationSeparator/>
      </w:r>
    </w:p>
  </w:footnote>
  <w:footnote w:id="1">
    <w:p w:rsidR="0007076A" w:rsidRPr="00E35F65" w:rsidRDefault="0007076A" w:rsidP="00E35F65">
      <w:pPr>
        <w:pStyle w:val="FootnoteText"/>
        <w:ind w:left="113" w:hanging="113"/>
        <w:rPr>
          <w:rFonts w:ascii="Arial" w:hAnsi="Arial" w:cs="Arial"/>
          <w:sz w:val="16"/>
          <w:szCs w:val="16"/>
        </w:rPr>
      </w:pPr>
      <w:r w:rsidRPr="00E35F65">
        <w:rPr>
          <w:rStyle w:val="FootnoteReference"/>
          <w:rFonts w:ascii="Arial" w:hAnsi="Arial" w:cs="Arial"/>
          <w:sz w:val="16"/>
          <w:szCs w:val="16"/>
        </w:rPr>
        <w:footnoteRef/>
      </w:r>
      <w:r w:rsidRPr="00E35F65">
        <w:t xml:space="preserve"> </w:t>
      </w:r>
      <w:r w:rsidRPr="00E35F65">
        <w:rPr>
          <w:rFonts w:ascii="Arial" w:hAnsi="Arial" w:cs="Arial"/>
          <w:sz w:val="16"/>
          <w:szCs w:val="16"/>
        </w:rPr>
        <w:t xml:space="preserve">Републички завод за статистику од 1998. године не располаже подацима за АП Косово и Метохију, тако да они нису садржани у обухвату података за Републику </w:t>
      </w:r>
      <w:r w:rsidR="00AB46CB" w:rsidRPr="00E35F65">
        <w:rPr>
          <w:rFonts w:ascii="Arial" w:hAnsi="Arial" w:cs="Arial"/>
          <w:sz w:val="16"/>
          <w:szCs w:val="16"/>
        </w:rPr>
        <w:t xml:space="preserve">Србију (укупно). </w:t>
      </w:r>
    </w:p>
  </w:footnote>
  <w:footnote w:id="2">
    <w:p w:rsidR="005B771B" w:rsidRPr="004D568B" w:rsidRDefault="005B771B" w:rsidP="004D568B">
      <w:pPr>
        <w:pStyle w:val="FootnoteText"/>
        <w:spacing w:line="252" w:lineRule="auto"/>
        <w:ind w:left="142" w:hanging="142"/>
        <w:rPr>
          <w:rFonts w:ascii="Arial" w:hAnsi="Arial" w:cs="Arial"/>
          <w:sz w:val="15"/>
          <w:szCs w:val="15"/>
        </w:rPr>
      </w:pPr>
      <w:r w:rsidRPr="004D568B">
        <w:rPr>
          <w:rStyle w:val="FootnoteReference"/>
          <w:rFonts w:ascii="Arial" w:hAnsi="Arial" w:cs="Arial"/>
          <w:sz w:val="15"/>
          <w:szCs w:val="15"/>
        </w:rPr>
        <w:footnoteRef/>
      </w:r>
      <w:r w:rsidRPr="004D568B">
        <w:rPr>
          <w:rFonts w:ascii="Arial" w:hAnsi="Arial" w:cs="Arial"/>
          <w:sz w:val="15"/>
          <w:szCs w:val="15"/>
        </w:rPr>
        <w:t xml:space="preserve">  Индекс старења становништва представља однос становништва старог 60 и више година и становништва старог 0–19 година, процењеног средином године посматрања.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5B771B" w:rsidRPr="003447B6" w:rsidTr="003447B6">
      <w:tc>
        <w:tcPr>
          <w:tcW w:w="3708" w:type="dxa"/>
        </w:tcPr>
        <w:p w:rsidR="005B771B" w:rsidRPr="003447B6" w:rsidRDefault="005B771B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sz w:val="22"/>
              <w:szCs w:val="22"/>
              <w:lang w:val="sr-Cyrl-CS"/>
            </w:rPr>
          </w:pPr>
          <w:r w:rsidRPr="003447B6">
            <w:rPr>
              <w:rFonts w:ascii="Tahoma" w:hAnsi="Tahoma" w:cs="Tahoma"/>
              <w:sz w:val="22"/>
              <w:szCs w:val="22"/>
              <w:lang w:val="sr-Cyrl-CS"/>
            </w:rPr>
            <w:t>Саопштење за јавност</w:t>
          </w:r>
          <w:r w:rsidRPr="003447B6">
            <w:rPr>
              <w:rFonts w:ascii="Tahoma" w:hAnsi="Tahoma" w:cs="Tahoma"/>
              <w:sz w:val="22"/>
              <w:szCs w:val="22"/>
            </w:rPr>
            <w:t xml:space="preserve"> </w:t>
          </w:r>
          <w:r w:rsidRPr="003447B6">
            <w:rPr>
              <w:rFonts w:ascii="Tahoma" w:hAnsi="Tahoma" w:cs="Tahoma"/>
              <w:sz w:val="22"/>
              <w:szCs w:val="22"/>
              <w:lang w:val="sr-Cyrl-CS"/>
            </w:rPr>
            <w:t xml:space="preserve">страна </w:t>
          </w:r>
          <w:r w:rsidRPr="003447B6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3447B6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3447B6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287EAB">
            <w:rPr>
              <w:rStyle w:val="PageNumber"/>
              <w:rFonts w:ascii="Tahoma" w:hAnsi="Tahoma" w:cs="Tahoma"/>
              <w:noProof/>
              <w:sz w:val="22"/>
              <w:szCs w:val="22"/>
            </w:rPr>
            <w:t>3</w:t>
          </w:r>
          <w:r w:rsidRPr="003447B6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5B771B" w:rsidRPr="00550E46" w:rsidRDefault="005B771B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5B771B" w:rsidRPr="003447B6" w:rsidTr="003447B6">
      <w:tc>
        <w:tcPr>
          <w:tcW w:w="3708" w:type="dxa"/>
        </w:tcPr>
        <w:p w:rsidR="005B771B" w:rsidRPr="003447B6" w:rsidRDefault="005B771B" w:rsidP="003447B6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noProof/>
              <w:lang w:val="en-US"/>
            </w:rPr>
            <w:drawing>
              <wp:inline distT="0" distB="0" distL="0" distR="0" wp14:anchorId="7B4806B1" wp14:editId="1535A2AC">
                <wp:extent cx="1574165" cy="709295"/>
                <wp:effectExtent l="19050" t="0" r="6985" b="0"/>
                <wp:docPr id="2" name="Picture 2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Република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Србија</w:t>
          </w:r>
        </w:p>
        <w:p w:rsidR="005B771B" w:rsidRPr="003447B6" w:rsidRDefault="005B771B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>Републички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завод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за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статистику</w:t>
          </w:r>
        </w:p>
      </w:tc>
      <w:tc>
        <w:tcPr>
          <w:tcW w:w="6588" w:type="dxa"/>
        </w:tcPr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>
            <w:rPr>
              <w:rFonts w:ascii="Tahoma" w:hAnsi="Tahoma" w:cs="Tahoma"/>
              <w:sz w:val="32"/>
              <w:szCs w:val="32"/>
              <w:lang w:val="sr-Cyrl-CS"/>
            </w:rPr>
            <w:t>Саопштење</w:t>
          </w:r>
          <w:r w:rsidRPr="003447B6">
            <w:rPr>
              <w:rFonts w:ascii="Tahoma" w:hAnsi="Tahoma" w:cs="Tahoma"/>
              <w:sz w:val="32"/>
              <w:szCs w:val="32"/>
              <w:lang w:val="sr-Cyrl-CS"/>
            </w:rPr>
            <w:t xml:space="preserve"> </w:t>
          </w:r>
          <w:r>
            <w:rPr>
              <w:rFonts w:ascii="Tahoma" w:hAnsi="Tahoma" w:cs="Tahoma"/>
              <w:sz w:val="32"/>
              <w:szCs w:val="32"/>
              <w:lang w:val="sr-Cyrl-CS"/>
            </w:rPr>
            <w:t>за</w:t>
          </w:r>
          <w:r w:rsidRPr="003447B6">
            <w:rPr>
              <w:rFonts w:ascii="Tahoma" w:hAnsi="Tahoma" w:cs="Tahoma"/>
              <w:sz w:val="32"/>
              <w:szCs w:val="32"/>
              <w:lang w:val="sr-Cyrl-CS"/>
            </w:rPr>
            <w:t xml:space="preserve"> </w:t>
          </w:r>
          <w:r>
            <w:rPr>
              <w:rFonts w:ascii="Tahoma" w:hAnsi="Tahoma" w:cs="Tahoma"/>
              <w:sz w:val="32"/>
              <w:szCs w:val="32"/>
              <w:lang w:val="sr-Cyrl-CS"/>
            </w:rPr>
            <w:t>јавност</w:t>
          </w:r>
        </w:p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5B771B" w:rsidRPr="003447B6" w:rsidRDefault="005B771B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>Београд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Милана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Ракића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5B771B" w:rsidRPr="003447B6" w:rsidRDefault="00895712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 xml:space="preserve">Тел.: </w:t>
          </w:r>
          <w:r w:rsidR="005B771B" w:rsidRPr="003447B6">
            <w:rPr>
              <w:rFonts w:ascii="Tahoma" w:hAnsi="Tahoma" w:cs="Tahoma"/>
              <w:sz w:val="20"/>
              <w:szCs w:val="20"/>
            </w:rPr>
            <w:t xml:space="preserve">+381 11 </w:t>
          </w:r>
          <w:r w:rsidR="005B771B" w:rsidRPr="003447B6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5B771B" w:rsidRPr="00072A88" w:rsidRDefault="005B771B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 w:rsidRPr="003447B6">
            <w:rPr>
              <w:rFonts w:ascii="Tahoma" w:hAnsi="Tahoma" w:cs="Tahoma"/>
              <w:sz w:val="20"/>
              <w:szCs w:val="20"/>
            </w:rPr>
            <w:t>www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stat</w:t>
          </w:r>
          <w:r w:rsidRPr="003447B6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gov.rs</w:t>
          </w:r>
        </w:p>
        <w:p w:rsidR="005B771B" w:rsidRPr="00072A88" w:rsidRDefault="005B771B" w:rsidP="003447B6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stat@stat.gov.rs</w:t>
          </w:r>
        </w:p>
      </w:tc>
    </w:tr>
  </w:tbl>
  <w:p w:rsidR="005B771B" w:rsidRPr="00E863C5" w:rsidRDefault="005B771B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A523D"/>
    <w:multiLevelType w:val="hybridMultilevel"/>
    <w:tmpl w:val="692AED60"/>
    <w:lvl w:ilvl="0" w:tplc="842E40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80938"/>
    <w:multiLevelType w:val="hybridMultilevel"/>
    <w:tmpl w:val="48AC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6"/>
    <w:rsid w:val="000048E2"/>
    <w:rsid w:val="00010006"/>
    <w:rsid w:val="00020D52"/>
    <w:rsid w:val="00024772"/>
    <w:rsid w:val="0003036B"/>
    <w:rsid w:val="000311C1"/>
    <w:rsid w:val="0004332C"/>
    <w:rsid w:val="00064074"/>
    <w:rsid w:val="00065AB1"/>
    <w:rsid w:val="00065FB0"/>
    <w:rsid w:val="0007076A"/>
    <w:rsid w:val="000709AC"/>
    <w:rsid w:val="00071C27"/>
    <w:rsid w:val="00072A88"/>
    <w:rsid w:val="00072F06"/>
    <w:rsid w:val="0009545C"/>
    <w:rsid w:val="000957A2"/>
    <w:rsid w:val="000A08E1"/>
    <w:rsid w:val="000A2B2A"/>
    <w:rsid w:val="000A7EFA"/>
    <w:rsid w:val="000B1DB4"/>
    <w:rsid w:val="000C432F"/>
    <w:rsid w:val="000D3B3F"/>
    <w:rsid w:val="000D591C"/>
    <w:rsid w:val="000F1893"/>
    <w:rsid w:val="00117679"/>
    <w:rsid w:val="00117FDE"/>
    <w:rsid w:val="001249CF"/>
    <w:rsid w:val="00135A25"/>
    <w:rsid w:val="00141F19"/>
    <w:rsid w:val="00142085"/>
    <w:rsid w:val="001435E7"/>
    <w:rsid w:val="0015019A"/>
    <w:rsid w:val="00181EC2"/>
    <w:rsid w:val="00182196"/>
    <w:rsid w:val="001946E4"/>
    <w:rsid w:val="001A23BF"/>
    <w:rsid w:val="001A2F99"/>
    <w:rsid w:val="001B4FF7"/>
    <w:rsid w:val="001C4F53"/>
    <w:rsid w:val="001D2D4D"/>
    <w:rsid w:val="001D335E"/>
    <w:rsid w:val="001E03E5"/>
    <w:rsid w:val="001F0ECE"/>
    <w:rsid w:val="00214526"/>
    <w:rsid w:val="002175E7"/>
    <w:rsid w:val="00225361"/>
    <w:rsid w:val="0023175D"/>
    <w:rsid w:val="00237202"/>
    <w:rsid w:val="00251365"/>
    <w:rsid w:val="002520FA"/>
    <w:rsid w:val="00256DEF"/>
    <w:rsid w:val="00257C36"/>
    <w:rsid w:val="002672D3"/>
    <w:rsid w:val="00271B88"/>
    <w:rsid w:val="00273FE4"/>
    <w:rsid w:val="002741DF"/>
    <w:rsid w:val="0027682D"/>
    <w:rsid w:val="00282C26"/>
    <w:rsid w:val="0028699D"/>
    <w:rsid w:val="00287A92"/>
    <w:rsid w:val="00287EAB"/>
    <w:rsid w:val="002B0422"/>
    <w:rsid w:val="002B05AE"/>
    <w:rsid w:val="002B15DF"/>
    <w:rsid w:val="002B5924"/>
    <w:rsid w:val="002B6B77"/>
    <w:rsid w:val="002C0BFC"/>
    <w:rsid w:val="002C7920"/>
    <w:rsid w:val="002D40A7"/>
    <w:rsid w:val="002D4AE1"/>
    <w:rsid w:val="00302120"/>
    <w:rsid w:val="00304476"/>
    <w:rsid w:val="003133BA"/>
    <w:rsid w:val="00317D9A"/>
    <w:rsid w:val="0032187C"/>
    <w:rsid w:val="0032339F"/>
    <w:rsid w:val="00324B2F"/>
    <w:rsid w:val="0034313B"/>
    <w:rsid w:val="003447B6"/>
    <w:rsid w:val="00345527"/>
    <w:rsid w:val="00366796"/>
    <w:rsid w:val="00374E31"/>
    <w:rsid w:val="0038109D"/>
    <w:rsid w:val="0039267E"/>
    <w:rsid w:val="00396DDD"/>
    <w:rsid w:val="00397813"/>
    <w:rsid w:val="003A28B5"/>
    <w:rsid w:val="003B0441"/>
    <w:rsid w:val="003C03A3"/>
    <w:rsid w:val="003C3808"/>
    <w:rsid w:val="003D4F6A"/>
    <w:rsid w:val="003E2EBC"/>
    <w:rsid w:val="003E580A"/>
    <w:rsid w:val="003F4E1D"/>
    <w:rsid w:val="00403B02"/>
    <w:rsid w:val="00403CB3"/>
    <w:rsid w:val="00424CF7"/>
    <w:rsid w:val="004325D0"/>
    <w:rsid w:val="00434ED5"/>
    <w:rsid w:val="00445C92"/>
    <w:rsid w:val="004558AC"/>
    <w:rsid w:val="004659A9"/>
    <w:rsid w:val="00470056"/>
    <w:rsid w:val="00487B95"/>
    <w:rsid w:val="004A4F0F"/>
    <w:rsid w:val="004B416D"/>
    <w:rsid w:val="004D568B"/>
    <w:rsid w:val="004E5462"/>
    <w:rsid w:val="00514307"/>
    <w:rsid w:val="00520691"/>
    <w:rsid w:val="0052383C"/>
    <w:rsid w:val="0052551D"/>
    <w:rsid w:val="00526874"/>
    <w:rsid w:val="00544FBE"/>
    <w:rsid w:val="00546298"/>
    <w:rsid w:val="00547548"/>
    <w:rsid w:val="005502B3"/>
    <w:rsid w:val="00550E46"/>
    <w:rsid w:val="00551474"/>
    <w:rsid w:val="00554D26"/>
    <w:rsid w:val="0055501C"/>
    <w:rsid w:val="00557842"/>
    <w:rsid w:val="00561FA1"/>
    <w:rsid w:val="00566DB6"/>
    <w:rsid w:val="005719AA"/>
    <w:rsid w:val="005731B8"/>
    <w:rsid w:val="00573871"/>
    <w:rsid w:val="005741F0"/>
    <w:rsid w:val="00576E7E"/>
    <w:rsid w:val="00586649"/>
    <w:rsid w:val="005911E4"/>
    <w:rsid w:val="0059434D"/>
    <w:rsid w:val="005A3785"/>
    <w:rsid w:val="005A3E2A"/>
    <w:rsid w:val="005A40CC"/>
    <w:rsid w:val="005A49A1"/>
    <w:rsid w:val="005B254C"/>
    <w:rsid w:val="005B771B"/>
    <w:rsid w:val="005C6763"/>
    <w:rsid w:val="005D4E08"/>
    <w:rsid w:val="005D75FD"/>
    <w:rsid w:val="005E2E37"/>
    <w:rsid w:val="005E3CDA"/>
    <w:rsid w:val="005E6BA1"/>
    <w:rsid w:val="005F0256"/>
    <w:rsid w:val="006023B0"/>
    <w:rsid w:val="00615616"/>
    <w:rsid w:val="00625702"/>
    <w:rsid w:val="006315FA"/>
    <w:rsid w:val="0063461A"/>
    <w:rsid w:val="00635474"/>
    <w:rsid w:val="00643621"/>
    <w:rsid w:val="00680D6D"/>
    <w:rsid w:val="00687F42"/>
    <w:rsid w:val="006B2269"/>
    <w:rsid w:val="006B5BF3"/>
    <w:rsid w:val="006B73B9"/>
    <w:rsid w:val="006C1D43"/>
    <w:rsid w:val="006C5364"/>
    <w:rsid w:val="006C63F5"/>
    <w:rsid w:val="006D16D3"/>
    <w:rsid w:val="006D783A"/>
    <w:rsid w:val="006E49A6"/>
    <w:rsid w:val="006E4AE5"/>
    <w:rsid w:val="006E6AD2"/>
    <w:rsid w:val="006E731A"/>
    <w:rsid w:val="006E7B06"/>
    <w:rsid w:val="006F45ED"/>
    <w:rsid w:val="00701ECF"/>
    <w:rsid w:val="007027BA"/>
    <w:rsid w:val="007331D9"/>
    <w:rsid w:val="00733B48"/>
    <w:rsid w:val="0073783B"/>
    <w:rsid w:val="007404C8"/>
    <w:rsid w:val="00742ACA"/>
    <w:rsid w:val="00746CF6"/>
    <w:rsid w:val="00751CB6"/>
    <w:rsid w:val="00757EF9"/>
    <w:rsid w:val="0076378B"/>
    <w:rsid w:val="007701F0"/>
    <w:rsid w:val="00777121"/>
    <w:rsid w:val="0078106D"/>
    <w:rsid w:val="007B064E"/>
    <w:rsid w:val="007B17C6"/>
    <w:rsid w:val="007B5772"/>
    <w:rsid w:val="007C24B3"/>
    <w:rsid w:val="007C4FF7"/>
    <w:rsid w:val="007D7C00"/>
    <w:rsid w:val="007E0B11"/>
    <w:rsid w:val="007E1CD5"/>
    <w:rsid w:val="007E67B8"/>
    <w:rsid w:val="007F0418"/>
    <w:rsid w:val="007F4500"/>
    <w:rsid w:val="0080391E"/>
    <w:rsid w:val="008149DB"/>
    <w:rsid w:val="0082147C"/>
    <w:rsid w:val="00822A6C"/>
    <w:rsid w:val="0082493D"/>
    <w:rsid w:val="00840CF4"/>
    <w:rsid w:val="008414A9"/>
    <w:rsid w:val="00850D9B"/>
    <w:rsid w:val="00853E37"/>
    <w:rsid w:val="008562BC"/>
    <w:rsid w:val="00860294"/>
    <w:rsid w:val="00863B59"/>
    <w:rsid w:val="0086431F"/>
    <w:rsid w:val="00865F60"/>
    <w:rsid w:val="008729FB"/>
    <w:rsid w:val="00885FF0"/>
    <w:rsid w:val="00895712"/>
    <w:rsid w:val="008A33BF"/>
    <w:rsid w:val="008B1401"/>
    <w:rsid w:val="008B516F"/>
    <w:rsid w:val="008C1DEB"/>
    <w:rsid w:val="008C57BA"/>
    <w:rsid w:val="008C7F10"/>
    <w:rsid w:val="008F5E0B"/>
    <w:rsid w:val="008F7A9C"/>
    <w:rsid w:val="009153B8"/>
    <w:rsid w:val="00915AE2"/>
    <w:rsid w:val="00916544"/>
    <w:rsid w:val="009168B0"/>
    <w:rsid w:val="00917087"/>
    <w:rsid w:val="00923511"/>
    <w:rsid w:val="00930992"/>
    <w:rsid w:val="0094253C"/>
    <w:rsid w:val="00953B0F"/>
    <w:rsid w:val="00954583"/>
    <w:rsid w:val="00965B0F"/>
    <w:rsid w:val="00966936"/>
    <w:rsid w:val="0097253C"/>
    <w:rsid w:val="00972F1A"/>
    <w:rsid w:val="00973EBD"/>
    <w:rsid w:val="00975A67"/>
    <w:rsid w:val="0098335C"/>
    <w:rsid w:val="0098528E"/>
    <w:rsid w:val="009940F5"/>
    <w:rsid w:val="009A115D"/>
    <w:rsid w:val="009E073C"/>
    <w:rsid w:val="00A00CA0"/>
    <w:rsid w:val="00A07ED4"/>
    <w:rsid w:val="00A12F85"/>
    <w:rsid w:val="00A1719A"/>
    <w:rsid w:val="00A25327"/>
    <w:rsid w:val="00A25A8F"/>
    <w:rsid w:val="00A274FF"/>
    <w:rsid w:val="00A31E23"/>
    <w:rsid w:val="00A44149"/>
    <w:rsid w:val="00A504E5"/>
    <w:rsid w:val="00A50D98"/>
    <w:rsid w:val="00A56BD5"/>
    <w:rsid w:val="00A61084"/>
    <w:rsid w:val="00A61633"/>
    <w:rsid w:val="00A616EB"/>
    <w:rsid w:val="00A658AB"/>
    <w:rsid w:val="00A74F13"/>
    <w:rsid w:val="00A7610F"/>
    <w:rsid w:val="00A766C8"/>
    <w:rsid w:val="00A90BB1"/>
    <w:rsid w:val="00A9262E"/>
    <w:rsid w:val="00A96081"/>
    <w:rsid w:val="00AA1A58"/>
    <w:rsid w:val="00AA1E61"/>
    <w:rsid w:val="00AB46CB"/>
    <w:rsid w:val="00AD550B"/>
    <w:rsid w:val="00AE5114"/>
    <w:rsid w:val="00AE5821"/>
    <w:rsid w:val="00AE71A3"/>
    <w:rsid w:val="00AF0C98"/>
    <w:rsid w:val="00AF4C40"/>
    <w:rsid w:val="00AF5A9B"/>
    <w:rsid w:val="00B04E2E"/>
    <w:rsid w:val="00B06431"/>
    <w:rsid w:val="00B0708D"/>
    <w:rsid w:val="00B16DC7"/>
    <w:rsid w:val="00B20703"/>
    <w:rsid w:val="00B256F4"/>
    <w:rsid w:val="00B26279"/>
    <w:rsid w:val="00B30150"/>
    <w:rsid w:val="00B31347"/>
    <w:rsid w:val="00B44F14"/>
    <w:rsid w:val="00B44F45"/>
    <w:rsid w:val="00B52F9C"/>
    <w:rsid w:val="00B62C09"/>
    <w:rsid w:val="00B6302A"/>
    <w:rsid w:val="00B63685"/>
    <w:rsid w:val="00B77334"/>
    <w:rsid w:val="00B92171"/>
    <w:rsid w:val="00B94D30"/>
    <w:rsid w:val="00BA0BCE"/>
    <w:rsid w:val="00BB5EA3"/>
    <w:rsid w:val="00BD160E"/>
    <w:rsid w:val="00BD3852"/>
    <w:rsid w:val="00BE772D"/>
    <w:rsid w:val="00BF2C23"/>
    <w:rsid w:val="00C13DF9"/>
    <w:rsid w:val="00C533BF"/>
    <w:rsid w:val="00C71792"/>
    <w:rsid w:val="00C72D8D"/>
    <w:rsid w:val="00C769B8"/>
    <w:rsid w:val="00C8415C"/>
    <w:rsid w:val="00C84908"/>
    <w:rsid w:val="00C85DA5"/>
    <w:rsid w:val="00CA6CA8"/>
    <w:rsid w:val="00CB07CB"/>
    <w:rsid w:val="00CB3C73"/>
    <w:rsid w:val="00CB47FA"/>
    <w:rsid w:val="00CB5823"/>
    <w:rsid w:val="00CB5A51"/>
    <w:rsid w:val="00CC167B"/>
    <w:rsid w:val="00CC4F77"/>
    <w:rsid w:val="00CD0C1C"/>
    <w:rsid w:val="00CE6CFF"/>
    <w:rsid w:val="00D10361"/>
    <w:rsid w:val="00D108D9"/>
    <w:rsid w:val="00D13002"/>
    <w:rsid w:val="00D13EFC"/>
    <w:rsid w:val="00D14599"/>
    <w:rsid w:val="00D16A7F"/>
    <w:rsid w:val="00D25CB2"/>
    <w:rsid w:val="00D27446"/>
    <w:rsid w:val="00D3699A"/>
    <w:rsid w:val="00D564BF"/>
    <w:rsid w:val="00D56EBE"/>
    <w:rsid w:val="00D70A60"/>
    <w:rsid w:val="00D71D63"/>
    <w:rsid w:val="00D71DB3"/>
    <w:rsid w:val="00D85DA1"/>
    <w:rsid w:val="00D86103"/>
    <w:rsid w:val="00D941D5"/>
    <w:rsid w:val="00D96957"/>
    <w:rsid w:val="00DA21DE"/>
    <w:rsid w:val="00DA2392"/>
    <w:rsid w:val="00DA7CCE"/>
    <w:rsid w:val="00DC05DB"/>
    <w:rsid w:val="00DC2F81"/>
    <w:rsid w:val="00DC53F5"/>
    <w:rsid w:val="00DD12D6"/>
    <w:rsid w:val="00DD6EDD"/>
    <w:rsid w:val="00DF53CD"/>
    <w:rsid w:val="00E0180A"/>
    <w:rsid w:val="00E118A2"/>
    <w:rsid w:val="00E13B4F"/>
    <w:rsid w:val="00E1690F"/>
    <w:rsid w:val="00E31105"/>
    <w:rsid w:val="00E35F65"/>
    <w:rsid w:val="00E36137"/>
    <w:rsid w:val="00E36333"/>
    <w:rsid w:val="00E421A1"/>
    <w:rsid w:val="00E47D53"/>
    <w:rsid w:val="00E56F0D"/>
    <w:rsid w:val="00E57B8A"/>
    <w:rsid w:val="00E6020E"/>
    <w:rsid w:val="00E8206A"/>
    <w:rsid w:val="00E863C5"/>
    <w:rsid w:val="00E90FF0"/>
    <w:rsid w:val="00EA0609"/>
    <w:rsid w:val="00EA1326"/>
    <w:rsid w:val="00EA229D"/>
    <w:rsid w:val="00EA3F3F"/>
    <w:rsid w:val="00EA76A6"/>
    <w:rsid w:val="00EB231F"/>
    <w:rsid w:val="00EB5045"/>
    <w:rsid w:val="00ED051F"/>
    <w:rsid w:val="00ED644B"/>
    <w:rsid w:val="00ED701E"/>
    <w:rsid w:val="00ED77AD"/>
    <w:rsid w:val="00EE0C8D"/>
    <w:rsid w:val="00EE6EFD"/>
    <w:rsid w:val="00F00D0E"/>
    <w:rsid w:val="00F12BBE"/>
    <w:rsid w:val="00F16439"/>
    <w:rsid w:val="00F1706F"/>
    <w:rsid w:val="00F23BCF"/>
    <w:rsid w:val="00F2505C"/>
    <w:rsid w:val="00F26D2B"/>
    <w:rsid w:val="00F3415A"/>
    <w:rsid w:val="00F351EA"/>
    <w:rsid w:val="00F47F43"/>
    <w:rsid w:val="00F55B5D"/>
    <w:rsid w:val="00F62DB8"/>
    <w:rsid w:val="00F67B19"/>
    <w:rsid w:val="00F74B6F"/>
    <w:rsid w:val="00F82834"/>
    <w:rsid w:val="00F85B98"/>
    <w:rsid w:val="00F85E30"/>
    <w:rsid w:val="00F93496"/>
    <w:rsid w:val="00F93B33"/>
    <w:rsid w:val="00FB0BC2"/>
    <w:rsid w:val="00FC2C41"/>
    <w:rsid w:val="00FD7ACC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F0"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character" w:customStyle="1" w:styleId="hps">
    <w:name w:val="hps"/>
    <w:basedOn w:val="DefaultParagraphFont"/>
    <w:uiPriority w:val="99"/>
    <w:rsid w:val="001E03E5"/>
  </w:style>
  <w:style w:type="paragraph" w:styleId="BalloonText">
    <w:name w:val="Balloon Text"/>
    <w:basedOn w:val="Normal"/>
    <w:link w:val="BalloonTextChar"/>
    <w:rsid w:val="00CB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286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699D"/>
  </w:style>
  <w:style w:type="character" w:styleId="FootnoteReference">
    <w:name w:val="footnote reference"/>
    <w:basedOn w:val="DefaultParagraphFont"/>
    <w:rsid w:val="002869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F0"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character" w:customStyle="1" w:styleId="hps">
    <w:name w:val="hps"/>
    <w:basedOn w:val="DefaultParagraphFont"/>
    <w:uiPriority w:val="99"/>
    <w:rsid w:val="001E03E5"/>
  </w:style>
  <w:style w:type="paragraph" w:styleId="BalloonText">
    <w:name w:val="Balloon Text"/>
    <w:basedOn w:val="Normal"/>
    <w:link w:val="BalloonTextChar"/>
    <w:rsid w:val="00CB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286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699D"/>
  </w:style>
  <w:style w:type="character" w:styleId="FootnoteReference">
    <w:name w:val="footnote reference"/>
    <w:basedOn w:val="DefaultParagraphFont"/>
    <w:rsid w:val="00286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t@stat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jiljana.sekulic@stat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70-15\2018\saopstenje%20za%20javnost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agana.paunovic\Desktop\Arhiva\SREDJENI%20REZULTATI%20PROCENA%20ZA%20SLANJE%20I%20ZAHTEVE\Proc%202017%20sredjen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50240594925635"/>
          <c:y val="5.1400554097404488E-2"/>
          <c:w val="0.83731649168853894"/>
          <c:h val="0.78278032954214061"/>
        </c:manualLayout>
      </c:layout>
      <c:lineChart>
        <c:grouping val="standard"/>
        <c:varyColors val="0"/>
        <c:ser>
          <c:idx val="0"/>
          <c:order val="0"/>
          <c:tx>
            <c:v>процене становништва</c:v>
          </c:tx>
          <c:cat>
            <c:numRef>
              <c:f>'Граф 1'!$B$4:$B$19</c:f>
              <c:numCache>
                <c:formatCode>General</c:formatCod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</c:numCache>
            </c:numRef>
          </c:cat>
          <c:val>
            <c:numRef>
              <c:f>'Граф 1'!$C$4:$C$19</c:f>
              <c:numCache>
                <c:formatCode>General</c:formatCode>
                <c:ptCount val="16"/>
                <c:pt idx="0">
                  <c:v>7500031</c:v>
                </c:pt>
                <c:pt idx="1">
                  <c:v>7480591</c:v>
                </c:pt>
                <c:pt idx="2">
                  <c:v>7463157</c:v>
                </c:pt>
                <c:pt idx="3">
                  <c:v>7440769</c:v>
                </c:pt>
                <c:pt idx="4">
                  <c:v>7411569</c:v>
                </c:pt>
                <c:pt idx="5">
                  <c:v>7381579</c:v>
                </c:pt>
                <c:pt idx="6">
                  <c:v>7350222</c:v>
                </c:pt>
                <c:pt idx="7">
                  <c:v>7320807</c:v>
                </c:pt>
                <c:pt idx="8">
                  <c:v>7291436</c:v>
                </c:pt>
                <c:pt idx="9">
                  <c:v>7236519</c:v>
                </c:pt>
                <c:pt idx="10">
                  <c:v>7201497</c:v>
                </c:pt>
                <c:pt idx="11">
                  <c:v>7166552</c:v>
                </c:pt>
                <c:pt idx="12">
                  <c:v>7131787</c:v>
                </c:pt>
                <c:pt idx="13">
                  <c:v>7095383</c:v>
                </c:pt>
                <c:pt idx="14">
                  <c:v>7058322</c:v>
                </c:pt>
                <c:pt idx="15">
                  <c:v>7020858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122-4019-A9BC-20C967B25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676736"/>
        <c:axId val="228678272"/>
      </c:lineChart>
      <c:catAx>
        <c:axId val="22867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28678272"/>
        <c:crosses val="autoZero"/>
        <c:auto val="1"/>
        <c:lblAlgn val="ctr"/>
        <c:lblOffset val="100"/>
        <c:noMultiLvlLbl val="0"/>
      </c:catAx>
      <c:valAx>
        <c:axId val="22867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28676736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2.1985564304461944E-2"/>
                <c:y val="0.18565981335666376"/>
              </c:manualLayout>
            </c:layout>
            <c:tx>
              <c:rich>
                <a:bodyPr/>
                <a:lstStyle/>
                <a:p>
                  <a:pPr>
                    <a:defRPr sz="800" b="0"/>
                  </a:pPr>
                  <a:r>
                    <a:rPr lang="sr-Cyrl-RS" sz="800" b="0"/>
                    <a:t>број становника у хиљадама</a:t>
                  </a:r>
                </a:p>
              </c:rich>
            </c:tx>
          </c:dispUnitsLbl>
        </c:dispUnits>
      </c:valAx>
    </c:plotArea>
    <c:legend>
      <c:legendPos val="r"/>
      <c:layout>
        <c:manualLayout>
          <c:xMode val="edge"/>
          <c:yMode val="edge"/>
          <c:x val="0.61859667541557306"/>
          <c:y val="0.14795603674540683"/>
          <c:w val="0.29662510936132985"/>
          <c:h val="9.7989938757655298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sr-Cyrl-RS" sz="900" b="0"/>
              <a:t>%</a:t>
            </a:r>
            <a:endParaRPr lang="en-US" sz="900" b="0"/>
          </a:p>
        </c:rich>
      </c:tx>
      <c:layout>
        <c:manualLayout>
          <c:xMode val="edge"/>
          <c:yMode val="edge"/>
          <c:x val="5.536123256298147E-2"/>
          <c:y val="7.3616018845700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115229818633695E-2"/>
          <c:y val="0.1501326247646606"/>
          <c:w val="0.9070384159506607"/>
          <c:h val="0.52250656167979004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Удео становништва млађег од 15 година</c:v>
          </c:tx>
          <c:invertIfNegative val="0"/>
          <c:cat>
            <c:strRef>
              <c:f>Sheet5!$E$2:$E$26</c:f>
              <c:strCache>
                <c:ptCount val="25"/>
                <c:pt idx="0">
                  <c:v>  Зајечарска</c:v>
                </c:pt>
                <c:pt idx="1">
                  <c:v>  Пиротска</c:v>
                </c:pt>
                <c:pt idx="2">
                  <c:v>  Браничевска</c:v>
                </c:pt>
                <c:pt idx="3">
                  <c:v>  Борска</c:v>
                </c:pt>
                <c:pt idx="4">
                  <c:v>  Поморавска</c:v>
                </c:pt>
                <c:pt idx="5">
                  <c:v>  Расинска</c:v>
                </c:pt>
                <c:pt idx="6">
                  <c:v>  Топличка</c:v>
                </c:pt>
                <c:pt idx="7">
                  <c:v>  Нишавска</c:v>
                </c:pt>
                <c:pt idx="8">
                  <c:v>  Моравичка</c:v>
                </c:pt>
                <c:pt idx="9">
                  <c:v>  Западнобачка </c:v>
                </c:pt>
                <c:pt idx="10">
                  <c:v>  Колубарска</c:v>
                </c:pt>
                <c:pt idx="11">
                  <c:v>  Јабланичка</c:v>
                </c:pt>
                <c:pt idx="12">
                  <c:v>  Златиборска</c:v>
                </c:pt>
                <c:pt idx="13">
                  <c:v>  Шумадијска</c:v>
                </c:pt>
                <c:pt idx="14">
                  <c:v>  Севернобанатска</c:v>
                </c:pt>
                <c:pt idx="15">
                  <c:v>  Подунавска</c:v>
                </c:pt>
                <c:pt idx="16">
                  <c:v>  Средњобанатска</c:v>
                </c:pt>
                <c:pt idx="17">
                  <c:v>  Јужнобанатска</c:v>
                </c:pt>
                <c:pt idx="18">
                  <c:v>  Мачванска</c:v>
                </c:pt>
                <c:pt idx="19">
                  <c:v>  Севернобачка</c:v>
                </c:pt>
                <c:pt idx="20">
                  <c:v>  Сремска</c:v>
                </c:pt>
                <c:pt idx="21">
                  <c:v>  Београдска </c:v>
                </c:pt>
                <c:pt idx="22">
                  <c:v>  Јужнобачка</c:v>
                </c:pt>
                <c:pt idx="23">
                  <c:v>  Рашка</c:v>
                </c:pt>
                <c:pt idx="24">
                  <c:v>  Пчињска</c:v>
                </c:pt>
              </c:strCache>
            </c:strRef>
          </c:cat>
          <c:val>
            <c:numRef>
              <c:f>Sheet5!$F$2:$F$26</c:f>
              <c:numCache>
                <c:formatCode>General</c:formatCode>
                <c:ptCount val="25"/>
                <c:pt idx="0">
                  <c:v>11.474542568911</c:v>
                </c:pt>
                <c:pt idx="1">
                  <c:v>11.803778325810001</c:v>
                </c:pt>
                <c:pt idx="2">
                  <c:v>12.889011615268</c:v>
                </c:pt>
                <c:pt idx="3">
                  <c:v>12.257873467112001</c:v>
                </c:pt>
                <c:pt idx="4">
                  <c:v>13.022645712164</c:v>
                </c:pt>
                <c:pt idx="5">
                  <c:v>13.003509576380999</c:v>
                </c:pt>
                <c:pt idx="6">
                  <c:v>13.993926389719</c:v>
                </c:pt>
                <c:pt idx="7">
                  <c:v>13.507635442953999</c:v>
                </c:pt>
                <c:pt idx="8">
                  <c:v>13.644283409066</c:v>
                </c:pt>
                <c:pt idx="9">
                  <c:v>12.999937267247001</c:v>
                </c:pt>
                <c:pt idx="10">
                  <c:v>13.258668990095</c:v>
                </c:pt>
                <c:pt idx="11">
                  <c:v>13.886565578044999</c:v>
                </c:pt>
                <c:pt idx="12">
                  <c:v>14.095101077172</c:v>
                </c:pt>
                <c:pt idx="13">
                  <c:v>13.939296104324001</c:v>
                </c:pt>
                <c:pt idx="14">
                  <c:v>13.553417984982</c:v>
                </c:pt>
                <c:pt idx="15">
                  <c:v>14.131820128932</c:v>
                </c:pt>
                <c:pt idx="16">
                  <c:v>14.069303133529999</c:v>
                </c:pt>
                <c:pt idx="17">
                  <c:v>14.390315892788999</c:v>
                </c:pt>
                <c:pt idx="18">
                  <c:v>14.198235379335999</c:v>
                </c:pt>
                <c:pt idx="19">
                  <c:v>13.921341399176001</c:v>
                </c:pt>
                <c:pt idx="20">
                  <c:v>14.078634364159999</c:v>
                </c:pt>
                <c:pt idx="21">
                  <c:v>14.907428701488</c:v>
                </c:pt>
                <c:pt idx="22">
                  <c:v>15.539955562675001</c:v>
                </c:pt>
                <c:pt idx="23">
                  <c:v>18.425645685298999</c:v>
                </c:pt>
                <c:pt idx="24">
                  <c:v>16.192599825841999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A4-4F78-B8B5-97B2738C1A74}"/>
            </c:ext>
          </c:extLst>
        </c:ser>
        <c:ser>
          <c:idx val="1"/>
          <c:order val="1"/>
          <c:tx>
            <c:v>Удео становништва старог 65 и више година</c:v>
          </c:tx>
          <c:invertIfNegative val="0"/>
          <c:cat>
            <c:strRef>
              <c:f>Sheet5!$E$2:$E$26</c:f>
              <c:strCache>
                <c:ptCount val="25"/>
                <c:pt idx="0">
                  <c:v>  Зајечарска</c:v>
                </c:pt>
                <c:pt idx="1">
                  <c:v>  Пиротска</c:v>
                </c:pt>
                <c:pt idx="2">
                  <c:v>  Браничевска</c:v>
                </c:pt>
                <c:pt idx="3">
                  <c:v>  Борска</c:v>
                </c:pt>
                <c:pt idx="4">
                  <c:v>  Поморавска</c:v>
                </c:pt>
                <c:pt idx="5">
                  <c:v>  Расинска</c:v>
                </c:pt>
                <c:pt idx="6">
                  <c:v>  Топличка</c:v>
                </c:pt>
                <c:pt idx="7">
                  <c:v>  Нишавска</c:v>
                </c:pt>
                <c:pt idx="8">
                  <c:v>  Моравичка</c:v>
                </c:pt>
                <c:pt idx="9">
                  <c:v>  Западнобачка </c:v>
                </c:pt>
                <c:pt idx="10">
                  <c:v>  Колубарска</c:v>
                </c:pt>
                <c:pt idx="11">
                  <c:v>  Јабланичка</c:v>
                </c:pt>
                <c:pt idx="12">
                  <c:v>  Златиборска</c:v>
                </c:pt>
                <c:pt idx="13">
                  <c:v>  Шумадијска</c:v>
                </c:pt>
                <c:pt idx="14">
                  <c:v>  Севернобанатска</c:v>
                </c:pt>
                <c:pt idx="15">
                  <c:v>  Подунавска</c:v>
                </c:pt>
                <c:pt idx="16">
                  <c:v>  Средњобанатска</c:v>
                </c:pt>
                <c:pt idx="17">
                  <c:v>  Јужнобанатска</c:v>
                </c:pt>
                <c:pt idx="18">
                  <c:v>  Мачванска</c:v>
                </c:pt>
                <c:pt idx="19">
                  <c:v>  Севернобачка</c:v>
                </c:pt>
                <c:pt idx="20">
                  <c:v>  Сремска</c:v>
                </c:pt>
                <c:pt idx="21">
                  <c:v>  Београдска </c:v>
                </c:pt>
                <c:pt idx="22">
                  <c:v>  Јужнобачка</c:v>
                </c:pt>
                <c:pt idx="23">
                  <c:v>  Рашка</c:v>
                </c:pt>
                <c:pt idx="24">
                  <c:v>  Пчињска</c:v>
                </c:pt>
              </c:strCache>
            </c:strRef>
          </c:cat>
          <c:val>
            <c:numRef>
              <c:f>Sheet5!$G$2:$G$26</c:f>
              <c:numCache>
                <c:formatCode>General</c:formatCode>
                <c:ptCount val="25"/>
                <c:pt idx="0">
                  <c:v>27.300837331484001</c:v>
                </c:pt>
                <c:pt idx="1">
                  <c:v>24.660322925875001</c:v>
                </c:pt>
                <c:pt idx="2">
                  <c:v>23.731103891143999</c:v>
                </c:pt>
                <c:pt idx="3">
                  <c:v>23.712722965440001</c:v>
                </c:pt>
                <c:pt idx="4">
                  <c:v>22.808068308376999</c:v>
                </c:pt>
                <c:pt idx="5">
                  <c:v>22.404412542766998</c:v>
                </c:pt>
                <c:pt idx="6">
                  <c:v>22.083084174610001</c:v>
                </c:pt>
                <c:pt idx="7">
                  <c:v>21.354251051056998</c:v>
                </c:pt>
                <c:pt idx="8">
                  <c:v>21.229940700701</c:v>
                </c:pt>
                <c:pt idx="9">
                  <c:v>21.081626717309</c:v>
                </c:pt>
                <c:pt idx="10">
                  <c:v>20.782583967133</c:v>
                </c:pt>
                <c:pt idx="11">
                  <c:v>20.413866393772999</c:v>
                </c:pt>
                <c:pt idx="12">
                  <c:v>20.310609414195</c:v>
                </c:pt>
                <c:pt idx="13">
                  <c:v>19.894229655701999</c:v>
                </c:pt>
                <c:pt idx="14">
                  <c:v>19.890728548612</c:v>
                </c:pt>
                <c:pt idx="15">
                  <c:v>19.696336684453001</c:v>
                </c:pt>
                <c:pt idx="16">
                  <c:v>19.552981252959999</c:v>
                </c:pt>
                <c:pt idx="17">
                  <c:v>19.143821367480999</c:v>
                </c:pt>
                <c:pt idx="18">
                  <c:v>19.099527573522</c:v>
                </c:pt>
                <c:pt idx="19">
                  <c:v>18.985411618583001</c:v>
                </c:pt>
                <c:pt idx="20">
                  <c:v>18.960224327879999</c:v>
                </c:pt>
                <c:pt idx="21">
                  <c:v>18.710095001458001</c:v>
                </c:pt>
                <c:pt idx="22">
                  <c:v>17.118241149349998</c:v>
                </c:pt>
                <c:pt idx="23">
                  <c:v>16.010903599887001</c:v>
                </c:pt>
                <c:pt idx="24">
                  <c:v>14.989605931413999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A4-4F78-B8B5-97B2738C1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28708736"/>
        <c:axId val="228710272"/>
      </c:barChart>
      <c:catAx>
        <c:axId val="228708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en-US"/>
          </a:p>
        </c:txPr>
        <c:crossAx val="228710272"/>
        <c:crosses val="autoZero"/>
        <c:auto val="1"/>
        <c:lblAlgn val="ctr"/>
        <c:lblOffset val="100"/>
        <c:noMultiLvlLbl val="0"/>
      </c:catAx>
      <c:valAx>
        <c:axId val="22871027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228708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059537920033572E-2"/>
          <c:y val="0.89946370440444057"/>
          <c:w val="0.87990527573809674"/>
          <c:h val="6.9697559889819419E-2"/>
        </c:manualLayout>
      </c:layout>
      <c:overlay val="0"/>
      <c:txPr>
        <a:bodyPr/>
        <a:lstStyle/>
        <a:p>
          <a:pPr>
            <a:defRPr sz="8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3C26-9ABE-4795-B7FF-B0E21E2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Dragana Paunovic</cp:lastModifiedBy>
  <cp:revision>4</cp:revision>
  <cp:lastPrinted>2018-06-08T13:00:00Z</cp:lastPrinted>
  <dcterms:created xsi:type="dcterms:W3CDTF">2018-06-13T09:02:00Z</dcterms:created>
  <dcterms:modified xsi:type="dcterms:W3CDTF">2018-06-13T09:06:00Z</dcterms:modified>
</cp:coreProperties>
</file>