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C4B51" Type="http://schemas.openxmlformats.org/officeDocument/2006/relationships/officeDocument" Target="/word/document.xml" /><Relationship Id="coreR31C4B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Borders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0296" w:type="dxa"/>
          </w:tcPr>
          <w:p>
            <w:pPr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28.12.2018.</w:t>
            </w:r>
          </w:p>
          <w:tbl>
            <w:tblPr>
              <w:tblStyle w:val="T2"/>
              <w:tblW w:w="0" w:type="auto"/>
              <w:tblBorders>
                <w:top w:val="single" w:sz="4" w:space="0" w:shadow="0" w:frame="0"/>
                <w:left w:val="single" w:sz="4" w:space="0" w:shadow="0" w:frame="0"/>
                <w:bottom w:val="single" w:sz="4" w:space="0" w:shadow="0" w:frame="0"/>
                <w:right w:val="single" w:sz="4" w:space="0" w:shadow="0" w:frame="0"/>
                <w:insideH w:val="single" w:sz="4" w:space="0" w:shadow="0" w:frame="0"/>
                <w:insideV w:val="single" w:sz="4" w:space="0" w:shadow="0" w:frame="0"/>
              </w:tblBorders>
              <w:tblLayout w:type="autofit"/>
            </w:tblPr>
            <w:tblGrid/>
            <w:tr>
              <w:tc>
                <w:tcPr>
                  <w:tcW w:w="10065" w:type="dxa"/>
                  <w:tcBorders>
                    <w:top w:val="none" w:sz="0" w:space="0" w:shadow="0" w:frame="0"/>
                    <w:left w:val="none" w:sz="0" w:space="0" w:shadow="0" w:frame="0"/>
                    <w:bottom w:val="none" w:sz="0" w:space="0" w:shadow="0" w:frame="0"/>
                    <w:right w:val="none" w:sz="0" w:space="0" w:shadow="0" w:frame="0"/>
                  </w:tcBorders>
                </w:tcPr>
                <w:p>
                  <w:pPr>
                    <w:jc w:val="center"/>
                    <w:rPr>
                      <w:rFonts w:ascii="Tahoma" w:hAnsi="Tahoma"/>
                      <w:color w:val="333333"/>
                    </w:rPr>
                  </w:pPr>
                </w:p>
                <w:p>
                  <w:pPr>
                    <w:jc w:val="center"/>
                    <w:rPr>
                      <w:rFonts w:ascii="Tahoma" w:hAnsi="Tahoma"/>
                      <w:color w:val="333333"/>
                    </w:rPr>
                  </w:pPr>
                </w:p>
                <w:p>
                  <w:pPr>
                    <w:jc w:val="center"/>
                    <w:rPr>
                      <w:rFonts w:ascii="Tahoma" w:hAnsi="Tahoma"/>
                      <w:b w:val="1"/>
                      <w:color w:val="333333"/>
                    </w:rPr>
                  </w:pPr>
                  <w:r>
                    <w:rPr>
                      <w:rFonts w:ascii="Tahoma" w:hAnsi="Tahoma"/>
                      <w:b w:val="1"/>
                      <w:color w:val="333333"/>
                    </w:rPr>
                    <w:t>Економска кретања у Републици Србији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 xml:space="preserve">, 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>201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>8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>.</w:t>
                  </w:r>
                </w:p>
                <w:p>
                  <w:pPr>
                    <w:jc w:val="center"/>
                    <w:rPr>
                      <w:rFonts w:ascii="Tahoma" w:hAnsi="Tahoma"/>
                      <w:b w:val="1"/>
                      <w:color w:val="333333"/>
                    </w:rPr>
                  </w:pPr>
                  <w:r>
                    <w:rPr>
                      <w:rFonts w:ascii="Tahoma" w:hAnsi="Tahoma"/>
                      <w:b w:val="1"/>
                      <w:color w:val="333333"/>
                    </w:rPr>
                    <w:t>-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 xml:space="preserve"> 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>П</w:t>
                  </w:r>
                  <w:r>
                    <w:rPr>
                      <w:rFonts w:ascii="Tahoma" w:hAnsi="Tahoma"/>
                      <w:b w:val="1"/>
                      <w:color w:val="333333"/>
                    </w:rPr>
                    <w:t>роцена -</w:t>
                  </w:r>
                </w:p>
              </w:tc>
            </w:tr>
          </w:tbl>
          <w:p>
            <w:pPr>
              <w:jc w:val="both"/>
              <w:rPr>
                <w:rFonts w:ascii="Tahoma" w:hAnsi="Tahoma"/>
              </w:rPr>
            </w:pPr>
          </w:p>
          <w:p>
            <w:pPr>
              <w:pStyle w:val="P3"/>
              <w:spacing w:lineRule="auto" w:line="288" w:before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Процењено је да је укупна економска активност у 2018. години, мерена бруто домаћим производом и исказана у сталним ценамa, остварила реални раст од 4,4% у односу на претходну годину. 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Процењено је да су бруто инвестиције у основна средства у 2018. години, у поређењу са претходном годином, оствариле реални раст од 9,1%.  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Процењено је да је индустријска производња у 2018. години имала раст физичког обима од 2,0% у односу на претходну годину. Пољопривредна производња у 2018, у односу на 2017. годину, остварила је раст физичког обима од 16,3%. 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Процењено је да вредност изведених радова у грађевинарству у 2018. години бележи реални раст од 10,9% у односу на претходну годину. Промет у трговини на мало бележи реални раст од 4,5%, док промет у трговини на велико бележи раст од 9,1% у текућим ценама. У сектору Услуге смештаја и исхране у 2018. години забележен је реални раст од 10,1%, док је број ноћења туриста повећан за 12,3% у односу на претходну годину. Сектор Саобраћај и складиштење има процењени раст физичког обима од 4,9%, а област телекомуникација раст од 1,0%. Процењена спољнотрговинска робна размена, у еврима, у 2018. години, у односу на 2017, показује раст извоза за 9,0% и раст увоза за 13,5%. 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Према резултатима Анкете о радној снази дошло је до повећања запослености и смањења незапослености. Стопа запослености у трећем кварталу 2018. године износи 49,2%, а стопа незапослености 11,3%.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trike w:val="1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Процењено је да су зараде без пореза и доприноса у 2018. години, у односу на 2017, номинално веће за 5,9%, а реално за  3,8%. 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Процењена годишња стопа инфлације износи 2,1%.</w:t>
            </w:r>
          </w:p>
          <w:p>
            <w:pPr>
              <w:spacing w:lineRule="auto" w:line="288" w:before="120" w:after="120"/>
              <w:ind w:firstLine="397"/>
              <w:jc w:val="both"/>
              <w:rPr>
                <w:rFonts w:ascii="Tahoma" w:hAnsi="Tahoma"/>
                <w:sz w:val="20"/>
              </w:rPr>
            </w:pPr>
          </w:p>
        </w:tc>
      </w:tr>
    </w:tbl>
    <w:p>
      <w:pPr>
        <w:jc w:val="both"/>
        <w:rPr>
          <w:rFonts w:ascii="Tahoma" w:hAnsi="Tahoma"/>
          <w:sz w:val="22"/>
        </w:rPr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Mar w:left="1080" w:right="1080" w:top="360" w:bottom="180" w:header="432" w:footer="0" w:gutter="0"/>
      <w:cols w:equalWidth="1" w:space="720"/>
      <w:vAlign w:val="both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11268" w:type="dxa"/>
      <w:tblLayout w:type="autofit"/>
    </w:tblPr>
    <w:tblGrid/>
    <w:tr>
      <w:trPr>
        <w:wAfter w:w="0" w:type="dxa"/>
      </w:trPr>
      <w:tc>
        <w:tcPr>
          <w:tcW w:w="5868" w:type="dxa"/>
        </w:tcPr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Контакт: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Нада Јевтић, статистичар методолог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Одсек за израду годишњих националних рачуна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тел: +381 11 24-12-922/312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nada.jevtic@stat.gov.rs</w:t>
          </w:r>
        </w:p>
        <w:p>
          <w:pPr>
            <w:jc w:val="both"/>
            <w:rPr>
              <w:rFonts w:ascii="Tahoma" w:hAnsi="Tahoma"/>
              <w:color w:val="808080"/>
              <w:sz w:val="20"/>
            </w:rPr>
          </w:pP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Група за информисање и дисеминацију 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тел: +381 11 2401-284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stat@stat.gov.rs</w:t>
          </w:r>
        </w:p>
        <w:p>
          <w:pPr>
            <w:jc w:val="both"/>
            <w:rPr>
              <w:rFonts w:ascii="Tahoma" w:hAnsi="Tahoma"/>
              <w:sz w:val="22"/>
            </w:rPr>
          </w:pPr>
        </w:p>
      </w:tc>
      <w:tc>
        <w:tcPr>
          <w:tcW w:w="5400" w:type="dxa"/>
        </w:tcPr>
        <w:p>
          <w:pPr>
            <w:jc w:val="center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Директор,</w:t>
          </w:r>
        </w:p>
        <w:p>
          <w:pPr>
            <w:jc w:val="center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Др Миладин Ковачевић</w:t>
          </w:r>
        </w:p>
      </w:tc>
    </w:tr>
  </w:tbl>
  <w:p>
    <w:pPr>
      <w:jc w:val="both"/>
      <w:rPr>
        <w:rFonts w:ascii="Tahoma" w:hAnsi="Tahoma"/>
        <w:color w:val="333333"/>
        <w:sz w:val="16"/>
      </w:rPr>
    </w:pPr>
    <w:r>
      <w:rPr>
        <w:rFonts w:ascii="Tahoma" w:hAnsi="Tahoma"/>
        <w:color w:val="333333"/>
        <w:sz w:val="16"/>
        <w:vertAlign w:val="superscript"/>
      </w:rPr>
      <w:t xml:space="preserve">1) </w:t>
    </w:r>
    <w:r>
      <w:rPr>
        <w:rFonts w:ascii="Tahoma" w:hAnsi="Tahoma"/>
        <w:color w:val="333333"/>
        <w:sz w:val="16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(укупно).</w:t>
    </w:r>
  </w:p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autofit"/>
    </w:tblPr>
    <w:tblGrid/>
    <w:tr>
      <w:tc>
        <w:tcPr>
          <w:tcW w:w="4788" w:type="dxa"/>
        </w:tcPr>
        <w:p>
          <w:pPr>
            <w:jc w:val="both"/>
            <w:rPr>
              <w:rFonts w:ascii="Tahoma" w:hAnsi="Tahoma"/>
              <w:color w:val="333333"/>
              <w:sz w:val="22"/>
            </w:rPr>
          </w:pPr>
        </w:p>
      </w:tc>
      <w:tc>
        <w:tcPr>
          <w:tcW w:w="5400" w:type="dxa"/>
        </w:tcPr>
        <w:p>
          <w:pPr>
            <w:rPr>
              <w:rFonts w:ascii="Tahoma" w:hAnsi="Tahoma"/>
              <w:color w:val="333333"/>
              <w:sz w:val="22"/>
            </w:rPr>
          </w:pPr>
        </w:p>
      </w:tc>
    </w:tr>
    <w:tr>
      <w:tblPrEx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Ex>
      <w:tc>
        <w:tcPr>
          <w:tcW w:w="4788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jc w:val="both"/>
            <w:rPr>
              <w:rFonts w:ascii="Tahoma" w:hAnsi="Tahoma"/>
              <w:sz w:val="22"/>
            </w:rPr>
          </w:pPr>
        </w:p>
      </w:tc>
      <w:tc>
        <w:tcPr>
          <w:tcW w:w="5400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ind w:left="972"/>
            <w:jc w:val="both"/>
            <w:rPr>
              <w:rFonts w:ascii="Tahoma" w:hAnsi="Tahoma"/>
              <w:sz w:val="20"/>
            </w:rPr>
          </w:pPr>
        </w:p>
      </w:tc>
    </w:tr>
  </w:tbl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1"/>
            <w:ind w:right="972"/>
            <w:rPr>
              <w:rFonts w:ascii="Tahoma" w:hAnsi="Tahoma"/>
              <w:sz w:val="20"/>
            </w:rPr>
          </w:pPr>
          <w:r>
            <w:drawing>
              <wp:inline xmlns:wp="http://schemas.openxmlformats.org/drawingml/2006/wordprocessingDrawing">
                <wp:extent cx="1564005" cy="70993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005" cy="70993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20"/>
            </w:rPr>
            <w:t xml:space="preserve"> Република Србија</w:t>
          </w:r>
        </w:p>
        <w:p>
          <w:pPr>
            <w:pStyle w:val="P1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Републички завод за статистику</w:t>
          </w:r>
        </w:p>
      </w:tc>
      <w:tc>
        <w:tcPr>
          <w:tcW w:w="6588" w:type="dxa"/>
        </w:tcPr>
        <w:p>
          <w:pPr>
            <w:pStyle w:val="P1"/>
            <w:jc w:val="right"/>
            <w:rPr>
              <w:rFonts w:ascii="Tahoma" w:hAnsi="Tahoma"/>
              <w:sz w:val="32"/>
            </w:rPr>
          </w:pPr>
          <w:r>
            <w:rPr>
              <w:rFonts w:ascii="Tahoma" w:hAnsi="Tahoma"/>
              <w:sz w:val="32"/>
            </w:rPr>
            <w:t>Саопштење за јавност</w:t>
          </w:r>
        </w:p>
        <w:p>
          <w:pPr>
            <w:pStyle w:val="P1"/>
            <w:jc w:val="right"/>
            <w:rPr>
              <w:rFonts w:ascii="Tahoma" w:hAnsi="Tahoma"/>
            </w:rPr>
          </w:pPr>
        </w:p>
        <w:p>
          <w:pPr>
            <w:pStyle w:val="P1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Београд, Милана Ракића 5</w:t>
          </w:r>
        </w:p>
        <w:p>
          <w:pPr>
            <w:pStyle w:val="P1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телефон +381 11 24-12-922</w:t>
          </w:r>
        </w:p>
        <w:p>
          <w:pPr>
            <w:pStyle w:val="P1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www.stat.gov.rs</w:t>
          </w:r>
        </w:p>
        <w:p>
          <w:pPr>
            <w:pStyle w:val="P1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stat@stat.gov.rs</w:t>
          </w:r>
        </w:p>
      </w:tc>
    </w:tr>
  </w:tbl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1"/>
            <w:rPr>
              <w:rFonts w:ascii="Tahoma" w:hAnsi="Tahoma"/>
              <w:sz w:val="20"/>
            </w:rPr>
          </w:pPr>
        </w:p>
      </w:tc>
      <w:tc>
        <w:tcPr>
          <w:tcW w:w="6588" w:type="dxa"/>
        </w:tcPr>
        <w:p>
          <w:pPr>
            <w:pStyle w:val="P1"/>
            <w:jc w:val="right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22"/>
            </w:rPr>
            <w:t xml:space="preserve">Саопштење за јавност страна </w:t>
          </w:r>
          <w:r>
            <w:rPr>
              <w:rFonts w:ascii="Tahoma" w:hAnsi="Tahoma"/>
              <w:sz w:val="22"/>
            </w:rPr>
            <w:fldChar w:fldCharType="begin"/>
          </w:r>
          <w:r>
            <w:rPr>
              <w:rStyle w:val="C3"/>
              <w:rFonts w:ascii="Tahoma" w:hAnsi="Tahoma"/>
              <w:sz w:val="22"/>
            </w:rPr>
            <w:instrText xml:space="preserve"> NUMPAGES </w:instrText>
          </w:r>
          <w:r>
            <w:rPr>
              <w:rStyle w:val="C3"/>
              <w:rFonts w:ascii="Tahoma" w:hAnsi="Tahoma"/>
              <w:sz w:val="22"/>
            </w:rPr>
            <w:fldChar w:fldCharType="separate"/>
          </w:r>
          <w:r>
            <w:rPr>
              <w:rStyle w:val="C3"/>
              <w:rFonts w:ascii="Tahoma" w:hAnsi="Tahoma"/>
              <w:sz w:val="22"/>
            </w:rPr>
            <w:t>#</w:t>
          </w:r>
          <w:r>
            <w:rPr>
              <w:rStyle w:val="C3"/>
              <w:rFonts w:ascii="Tahoma" w:hAnsi="Tahoma"/>
              <w:sz w:val="22"/>
            </w:rPr>
            <w:fldChar w:fldCharType="end"/>
          </w:r>
        </w:p>
        <w:p>
          <w:pPr>
            <w:pStyle w:val="P1"/>
            <w:jc w:val="right"/>
            <w:rPr>
              <w:rFonts w:ascii="Tahoma" w:hAnsi="Tahoma"/>
            </w:rPr>
          </w:pPr>
        </w:p>
        <w:p>
          <w:pPr>
            <w:pStyle w:val="P1"/>
            <w:jc w:val="right"/>
            <w:rPr>
              <w:rFonts w:ascii="Tahoma" w:hAnsi="Tahoma"/>
              <w:sz w:val="20"/>
            </w:rPr>
          </w:pPr>
        </w:p>
      </w:tc>
    </w:tr>
  </w:tbl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D7C7C46"/>
    <w:multiLevelType w:val="hybridMultilevel"/>
    <w:lvl w:ilvl="0" w:tplc="140513F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66B4D0A"/>
    <w:multiLevelType w:val="hybridMultilevel"/>
    <w:lvl w:ilvl="0" w:tplc="792ACEF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ody Text"/>
    <w:basedOn w:val="P0"/>
    <w:next w:val="P3"/>
    <w:pPr>
      <w:spacing w:after="120"/>
    </w:pPr>
    <w:rPr/>
  </w:style>
  <w:style w:type="paragraph" w:styleId="P4">
    <w:name w:val="Balloon Text"/>
    <w:basedOn w:val="P0"/>
    <w:next w:val="P4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Aleksandra Danilovic</dc:creator>
  <dcterms:created xsi:type="dcterms:W3CDTF">2013-12-27T10:45:00Z</dcterms:created>
  <cp:lastModifiedBy>Nikola Kapetanovic</cp:lastModifiedBy>
  <cp:lastPrinted>2015-12-29T14:10:00Z</cp:lastPrinted>
  <dcterms:modified xsi:type="dcterms:W3CDTF">2020-01-10T11:25:16Z</dcterms:modified>
  <cp:revision>45</cp:revision>
  <dc:title>29</dc:title>
</cp:coreProperties>
</file>