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DF" w:rsidRPr="001B30DF" w:rsidRDefault="001B30DF" w:rsidP="001B30DF">
      <w:pPr>
        <w:autoSpaceDE w:val="0"/>
        <w:autoSpaceDN w:val="0"/>
        <w:adjustRightInd w:val="0"/>
        <w:spacing w:after="0" w:line="264" w:lineRule="auto"/>
        <w:jc w:val="center"/>
        <w:rPr>
          <w:rFonts w:ascii="Arial" w:eastAsia="Times New Roman" w:hAnsi="Arial" w:cs="Arial"/>
          <w:b/>
          <w:lang w:val="sr-Cyrl-CS"/>
        </w:rPr>
      </w:pPr>
      <w:bookmarkStart w:id="0" w:name="_GoBack"/>
      <w:bookmarkEnd w:id="0"/>
      <w:r w:rsidRPr="001B30DF">
        <w:rPr>
          <w:rFonts w:ascii="Arial" w:eastAsia="Times New Roman" w:hAnsi="Arial" w:cs="Arial"/>
          <w:b/>
          <w:color w:val="000000"/>
        </w:rPr>
        <w:t>Foreign Affiliates in the Republic of Serbia in 201</w:t>
      </w:r>
      <w:r w:rsidR="006446AA">
        <w:rPr>
          <w:rFonts w:ascii="Arial" w:eastAsia="Times New Roman" w:hAnsi="Arial" w:cs="Arial"/>
          <w:b/>
          <w:color w:val="000000"/>
        </w:rPr>
        <w:t>5</w:t>
      </w:r>
      <w:r w:rsidRPr="001B30DF">
        <w:rPr>
          <w:rFonts w:ascii="Arial" w:eastAsia="Times New Roman" w:hAnsi="Arial" w:cs="Arial"/>
          <w:b/>
          <w:color w:val="000000"/>
          <w:lang w:val="sr-Cyrl-CS"/>
        </w:rPr>
        <w:t xml:space="preserve"> </w:t>
      </w:r>
      <w:r w:rsidRPr="001B30DF">
        <w:rPr>
          <w:rFonts w:ascii="Arial" w:eastAsia="Times New Roman" w:hAnsi="Arial" w:cs="Arial"/>
          <w:b/>
          <w:lang w:val="sr-Cyrl-CS"/>
        </w:rPr>
        <w:t>(</w:t>
      </w:r>
      <w:r w:rsidRPr="001B30DF">
        <w:rPr>
          <w:rFonts w:ascii="Arial" w:eastAsia="Times New Roman" w:hAnsi="Arial" w:cs="Arial"/>
          <w:b/>
          <w:lang w:val="sr-Latn-CS"/>
        </w:rPr>
        <w:t>inward FATS</w:t>
      </w:r>
      <w:r w:rsidRPr="001B30DF">
        <w:rPr>
          <w:rFonts w:ascii="Arial" w:eastAsia="Times New Roman" w:hAnsi="Arial" w:cs="Arial"/>
          <w:b/>
          <w:lang w:val="sr-Cyrl-CS"/>
        </w:rPr>
        <w:t>)</w:t>
      </w:r>
    </w:p>
    <w:p w:rsidR="001B30DF" w:rsidRPr="001B30DF" w:rsidRDefault="001B30DF" w:rsidP="001B30DF">
      <w:pPr>
        <w:autoSpaceDE w:val="0"/>
        <w:autoSpaceDN w:val="0"/>
        <w:adjustRightInd w:val="0"/>
        <w:spacing w:after="0" w:line="240"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b/>
          <w:color w:val="000000"/>
          <w:sz w:val="20"/>
          <w:szCs w:val="20"/>
          <w:lang w:val="sr-Cyrl-CS"/>
        </w:rPr>
      </w:pPr>
      <w:r w:rsidRPr="001B30DF">
        <w:rPr>
          <w:rFonts w:ascii="Arial" w:eastAsia="Times New Roman" w:hAnsi="Arial" w:cs="Arial"/>
          <w:b/>
          <w:color w:val="000000"/>
          <w:sz w:val="20"/>
          <w:szCs w:val="20"/>
        </w:rPr>
        <w:t>Introduction</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process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proofErr w:type="spellStart"/>
      <w:r w:rsidRPr="001B30DF">
        <w:rPr>
          <w:rFonts w:ascii="Arial" w:eastAsia="Times New Roman" w:hAnsi="Arial" w:cs="Arial"/>
          <w:color w:val="000000"/>
          <w:sz w:val="20"/>
          <w:szCs w:val="20"/>
        </w:rPr>
        <w:t>harmonising</w:t>
      </w:r>
      <w:proofErr w:type="spellEnd"/>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structural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business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statistics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European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statistical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standards</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 Statistical Office of the </w:t>
      </w:r>
      <w:smartTag w:uri="urn:schemas-microsoft-com:office:smarttags" w:element="PlaceType">
        <w:r w:rsidRPr="001B30DF">
          <w:rPr>
            <w:rFonts w:ascii="Arial" w:eastAsia="Times New Roman" w:hAnsi="Arial" w:cs="Arial"/>
            <w:color w:val="000000"/>
            <w:sz w:val="20"/>
            <w:szCs w:val="20"/>
          </w:rPr>
          <w:t>Republic</w:t>
        </w:r>
      </w:smartTag>
      <w:r w:rsidRPr="001B30DF">
        <w:rPr>
          <w:rFonts w:ascii="Arial" w:eastAsia="Times New Roman" w:hAnsi="Arial" w:cs="Arial"/>
          <w:color w:val="000000"/>
          <w:sz w:val="20"/>
          <w:szCs w:val="20"/>
        </w:rPr>
        <w:t xml:space="preserve"> of </w:t>
      </w:r>
      <w:smartTag w:uri="urn:schemas-microsoft-com:office:smarttags" w:element="PlaceName">
        <w:r w:rsidRPr="001B30DF">
          <w:rPr>
            <w:rFonts w:ascii="Arial" w:eastAsia="Times New Roman" w:hAnsi="Arial" w:cs="Arial"/>
            <w:color w:val="000000"/>
            <w:sz w:val="20"/>
            <w:szCs w:val="20"/>
          </w:rPr>
          <w:t>Serbia</w:t>
        </w:r>
      </w:smartTag>
      <w:r w:rsidRPr="001B30DF">
        <w:rPr>
          <w:rFonts w:ascii="Arial" w:eastAsia="Times New Roman" w:hAnsi="Arial" w:cs="Arial"/>
          <w:color w:val="000000"/>
          <w:sz w:val="20"/>
          <w:szCs w:val="20"/>
        </w:rPr>
        <w:t xml:space="preserve"> has been calculating, since the referent 201</w:t>
      </w:r>
      <w:r w:rsidRPr="001B30DF">
        <w:rPr>
          <w:rFonts w:ascii="Arial" w:eastAsia="Times New Roman" w:hAnsi="Arial" w:cs="Arial"/>
          <w:color w:val="000000"/>
          <w:sz w:val="20"/>
          <w:szCs w:val="20"/>
          <w:lang w:val="sr-Cyrl-CS"/>
        </w:rPr>
        <w:t>1</w:t>
      </w:r>
      <w:r w:rsidRPr="001B30DF">
        <w:rPr>
          <w:rFonts w:ascii="Arial" w:eastAsia="Times New Roman" w:hAnsi="Arial" w:cs="Arial"/>
          <w:color w:val="000000"/>
          <w:sz w:val="20"/>
          <w:szCs w:val="20"/>
        </w:rPr>
        <w:t xml:space="preserve">, the main indicators of inward statistics on foreign affiliates in the </w:t>
      </w:r>
      <w:smartTag w:uri="urn:schemas-microsoft-com:office:smarttags" w:element="place">
        <w:smartTag w:uri="urn:schemas-microsoft-com:office:smarttags" w:element="PlaceType">
          <w:r w:rsidRPr="001B30DF">
            <w:rPr>
              <w:rFonts w:ascii="Arial" w:eastAsia="Times New Roman" w:hAnsi="Arial" w:cs="Arial"/>
              <w:color w:val="000000"/>
              <w:sz w:val="20"/>
              <w:szCs w:val="20"/>
            </w:rPr>
            <w:t>Republic</w:t>
          </w:r>
        </w:smartTag>
        <w:r w:rsidRPr="001B30DF">
          <w:rPr>
            <w:rFonts w:ascii="Arial" w:eastAsia="Times New Roman" w:hAnsi="Arial" w:cs="Arial"/>
            <w:color w:val="000000"/>
            <w:sz w:val="20"/>
            <w:szCs w:val="20"/>
          </w:rPr>
          <w:t xml:space="preserve"> of </w:t>
        </w:r>
        <w:smartTag w:uri="urn:schemas-microsoft-com:office:smarttags" w:element="PlaceName">
          <w:r w:rsidRPr="001B30DF">
            <w:rPr>
              <w:rFonts w:ascii="Arial" w:eastAsia="Times New Roman" w:hAnsi="Arial" w:cs="Arial"/>
              <w:color w:val="000000"/>
              <w:sz w:val="20"/>
              <w:szCs w:val="20"/>
            </w:rPr>
            <w:t>Serbia</w:t>
          </w:r>
        </w:smartTag>
      </w:smartTag>
      <w:r w:rsidRPr="001B30DF">
        <w:rPr>
          <w:rFonts w:ascii="Arial" w:eastAsia="Times New Roman" w:hAnsi="Arial" w:cs="Arial"/>
          <w:color w:val="000000"/>
          <w:sz w:val="20"/>
          <w:szCs w:val="20"/>
        </w:rPr>
        <w:t xml:space="preserve"> (inward FATS). The survey is defined in the Regulation EC No 716/2007 of the European Parliament and of the Council on Community statistics on the structure and activity of foreign affiliates. In the circumstances of </w:t>
      </w:r>
      <w:proofErr w:type="spellStart"/>
      <w:r w:rsidRPr="001B30DF">
        <w:rPr>
          <w:rFonts w:ascii="Arial" w:eastAsia="Times New Roman" w:hAnsi="Arial" w:cs="Arial"/>
          <w:color w:val="000000"/>
          <w:sz w:val="20"/>
          <w:szCs w:val="20"/>
        </w:rPr>
        <w:t>globalisation</w:t>
      </w:r>
      <w:proofErr w:type="spellEnd"/>
      <w:r w:rsidRPr="001B30DF">
        <w:rPr>
          <w:rFonts w:ascii="Arial" w:eastAsia="Times New Roman" w:hAnsi="Arial" w:cs="Arial"/>
          <w:color w:val="000000"/>
          <w:sz w:val="20"/>
          <w:szCs w:val="20"/>
        </w:rPr>
        <w:t xml:space="preserve">, constant capital fluctuation and world financial and economic crisis, these indicators are growingly becoming the focus of interest of users of all profiles. </w:t>
      </w:r>
      <w:r w:rsidRPr="001B30DF">
        <w:rPr>
          <w:rFonts w:ascii="Arial" w:eastAsia="Times New Roman" w:hAnsi="Arial" w:cs="Arial"/>
          <w:color w:val="000000"/>
          <w:sz w:val="20"/>
          <w:szCs w:val="20"/>
          <w:lang w:val="sr-Cyrl-CS"/>
        </w:rPr>
        <w:t xml:space="preserve"> </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sz w:val="20"/>
          <w:szCs w:val="20"/>
        </w:rPr>
        <w:t>This statistics describes the activity of resident business entities in the reporting country (</w:t>
      </w:r>
      <w:smartTag w:uri="urn:schemas-microsoft-com:office:smarttags" w:element="place">
        <w:smartTag w:uri="urn:schemas-microsoft-com:office:smarttags" w:element="PlaceType">
          <w:r w:rsidRPr="001B30DF">
            <w:rPr>
              <w:rFonts w:ascii="Arial" w:eastAsia="Times New Roman" w:hAnsi="Arial" w:cs="Arial"/>
              <w:sz w:val="20"/>
              <w:szCs w:val="20"/>
            </w:rPr>
            <w:t>Republic</w:t>
          </w:r>
        </w:smartTag>
        <w:r w:rsidRPr="001B30DF">
          <w:rPr>
            <w:rFonts w:ascii="Arial" w:eastAsia="Times New Roman" w:hAnsi="Arial" w:cs="Arial"/>
            <w:sz w:val="20"/>
            <w:szCs w:val="20"/>
          </w:rPr>
          <w:t xml:space="preserve"> of </w:t>
        </w:r>
        <w:smartTag w:uri="urn:schemas-microsoft-com:office:smarttags" w:element="PlaceName">
          <w:r w:rsidRPr="001B30DF">
            <w:rPr>
              <w:rFonts w:ascii="Arial" w:eastAsia="Times New Roman" w:hAnsi="Arial" w:cs="Arial"/>
              <w:sz w:val="20"/>
              <w:szCs w:val="20"/>
            </w:rPr>
            <w:t>Serbia</w:t>
          </w:r>
        </w:smartTag>
      </w:smartTag>
      <w:r w:rsidRPr="001B30DF">
        <w:rPr>
          <w:rFonts w:ascii="Arial" w:eastAsia="Times New Roman" w:hAnsi="Arial" w:cs="Arial"/>
          <w:sz w:val="20"/>
          <w:szCs w:val="20"/>
        </w:rPr>
        <w:t xml:space="preserve">) being under the control of foreign enterprises. These are enterprises in which the share of foreign capital (one or more countries) in the total capital is 50% and more. The main objective of this statistics is to show the share and influence of these enterprises on the domestic economy. </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data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collected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means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questionnaire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Structural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Business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 xml:space="preserve">Survey (SBS 01), meaning that covered are active enterprises and other legal entities classified by CA activities 2010 (except sections K and O). Part of the data comes from administrative sources. The results are presented by CA activities (sections B-J and L-N) and countries where seats the ultimate controlling institutional unit of the foreign affiliate. This is an institutional unit being the last in the chain of control and not being controlling by any other unit. </w:t>
      </w:r>
      <w:r w:rsidRPr="001B30DF">
        <w:rPr>
          <w:rFonts w:ascii="Arial" w:eastAsia="Times New Roman" w:hAnsi="Arial" w:cs="Arial"/>
          <w:color w:val="000000"/>
          <w:sz w:val="20"/>
          <w:szCs w:val="20"/>
          <w:lang w:val="sr-Cyrl-CS"/>
        </w:rPr>
        <w:t xml:space="preserve">  </w:t>
      </w: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rPr>
      </w:pPr>
      <w:r w:rsidRPr="001B30DF">
        <w:rPr>
          <w:rFonts w:ascii="Arial" w:eastAsia="Times New Roman" w:hAnsi="Arial" w:cs="Arial"/>
          <w:b/>
          <w:color w:val="000000"/>
          <w:sz w:val="20"/>
          <w:szCs w:val="20"/>
        </w:rPr>
        <w:t>Basic</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data</w:t>
      </w:r>
      <w:r w:rsidRPr="001B30DF">
        <w:rPr>
          <w:rFonts w:ascii="Arial" w:eastAsia="Times New Roman" w:hAnsi="Arial" w:cs="Arial"/>
          <w:b/>
          <w:color w:val="000000"/>
          <w:sz w:val="20"/>
          <w:szCs w:val="20"/>
          <w:lang w:val="sr-Cyrl-CS"/>
        </w:rPr>
        <w:t>, 201</w:t>
      </w:r>
      <w:r w:rsidR="006446AA">
        <w:rPr>
          <w:rFonts w:ascii="Arial" w:eastAsia="Times New Roman" w:hAnsi="Arial" w:cs="Arial"/>
          <w:b/>
          <w:color w:val="000000"/>
          <w:sz w:val="20"/>
          <w:szCs w:val="20"/>
        </w:rPr>
        <w:t>5</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201</w:t>
      </w:r>
      <w:r w:rsidR="006446AA">
        <w:rPr>
          <w:rFonts w:ascii="Arial" w:eastAsia="Times New Roman" w:hAnsi="Arial" w:cs="Arial"/>
          <w:color w:val="000000"/>
          <w:sz w:val="20"/>
          <w:szCs w:val="20"/>
        </w:rPr>
        <w:t>5</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26</w:t>
      </w:r>
      <w:r w:rsidR="006446AA">
        <w:rPr>
          <w:rFonts w:ascii="Arial" w:eastAsia="Times New Roman" w:hAnsi="Arial" w:cs="Arial"/>
          <w:color w:val="000000"/>
          <w:sz w:val="20"/>
          <w:szCs w:val="20"/>
        </w:rPr>
        <w:t>15</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affiliates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Serbia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section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J</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and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L</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00AB1D8F">
        <w:rPr>
          <w:rFonts w:ascii="Arial" w:eastAsia="Times New Roman" w:hAnsi="Arial" w:cs="Arial"/>
          <w:color w:val="000000"/>
          <w:sz w:val="20"/>
          <w:szCs w:val="20"/>
        </w:rPr>
        <w:t>198</w:t>
      </w:r>
      <w:r w:rsidR="006446AA">
        <w:rPr>
          <w:rFonts w:ascii="Arial" w:eastAsia="Times New Roman" w:hAnsi="Arial" w:cs="Arial"/>
          <w:color w:val="000000"/>
          <w:sz w:val="20"/>
          <w:szCs w:val="20"/>
        </w:rPr>
        <w:t>732</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persons employed</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 total turnover </w:t>
      </w:r>
      <w:proofErr w:type="spellStart"/>
      <w:r w:rsidRPr="001B30DF">
        <w:rPr>
          <w:rFonts w:ascii="Arial" w:eastAsia="Times New Roman" w:hAnsi="Arial" w:cs="Arial"/>
          <w:color w:val="000000"/>
          <w:sz w:val="20"/>
          <w:szCs w:val="20"/>
        </w:rPr>
        <w:t>realised</w:t>
      </w:r>
      <w:proofErr w:type="spellEnd"/>
      <w:r w:rsidRPr="001B30DF">
        <w:rPr>
          <w:rFonts w:ascii="Arial" w:eastAsia="Times New Roman" w:hAnsi="Arial" w:cs="Arial"/>
          <w:color w:val="000000"/>
          <w:sz w:val="20"/>
          <w:szCs w:val="20"/>
        </w:rPr>
        <w:t xml:space="preserve"> by these enterprises in 201</w:t>
      </w:r>
      <w:r w:rsidR="006446AA">
        <w:rPr>
          <w:rFonts w:ascii="Arial" w:eastAsia="Times New Roman" w:hAnsi="Arial" w:cs="Arial"/>
          <w:color w:val="000000"/>
          <w:sz w:val="20"/>
          <w:szCs w:val="20"/>
        </w:rPr>
        <w:t>5</w:t>
      </w:r>
      <w:r w:rsidRPr="001B30DF">
        <w:rPr>
          <w:rFonts w:ascii="Arial" w:eastAsia="Times New Roman" w:hAnsi="Arial" w:cs="Arial"/>
          <w:color w:val="000000"/>
          <w:sz w:val="20"/>
          <w:szCs w:val="20"/>
        </w:rPr>
        <w:t xml:space="preserve"> amounted to 2</w:t>
      </w:r>
      <w:r w:rsidR="006446AA">
        <w:rPr>
          <w:rFonts w:ascii="Arial" w:eastAsia="Times New Roman" w:hAnsi="Arial" w:cs="Arial"/>
          <w:color w:val="000000"/>
          <w:sz w:val="20"/>
          <w:szCs w:val="20"/>
        </w:rPr>
        <w:t>876</w:t>
      </w:r>
      <w:r w:rsidRPr="001B30DF">
        <w:rPr>
          <w:rFonts w:ascii="Arial" w:eastAsia="Times New Roman" w:hAnsi="Arial" w:cs="Arial"/>
          <w:color w:val="000000"/>
          <w:sz w:val="20"/>
          <w:szCs w:val="20"/>
        </w:rPr>
        <w:t xml:space="preserve"> dinars while the value added by factor costs was 5</w:t>
      </w:r>
      <w:r w:rsidR="006446AA">
        <w:rPr>
          <w:rFonts w:ascii="Arial" w:eastAsia="Times New Roman" w:hAnsi="Arial" w:cs="Arial"/>
          <w:color w:val="000000"/>
          <w:sz w:val="20"/>
          <w:szCs w:val="20"/>
        </w:rPr>
        <w:t>31</w:t>
      </w:r>
      <w:r w:rsidRPr="001B30DF">
        <w:rPr>
          <w:rFonts w:ascii="Arial" w:eastAsia="Times New Roman" w:hAnsi="Arial" w:cs="Arial"/>
          <w:color w:val="000000"/>
          <w:sz w:val="20"/>
          <w:szCs w:val="20"/>
        </w:rPr>
        <w:t xml:space="preserve"> billion dinars</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Observed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activities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following</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worth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stating</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numPr>
          <w:ilvl w:val="0"/>
          <w:numId w:val="1"/>
        </w:numPr>
        <w:autoSpaceDE w:val="0"/>
        <w:autoSpaceDN w:val="0"/>
        <w:adjustRightInd w:val="0"/>
        <w:spacing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Republic</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Serbia</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amounted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26</w:t>
      </w:r>
      <w:r w:rsidR="006446AA">
        <w:rPr>
          <w:rFonts w:ascii="Arial" w:eastAsia="Times New Roman" w:hAnsi="Arial" w:cs="Arial"/>
          <w:b/>
          <w:color w:val="000000"/>
          <w:sz w:val="20"/>
          <w:szCs w:val="20"/>
        </w:rPr>
        <w:t>15</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which</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3.0</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enterprises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covered by SBS 01, sections B-J and L-N (hereinafter SBS coverage). In the set of foreign affiliates, the largest number of them were predominantly dealing in the sections Wholesale and retail trade; repair or mo</w:t>
      </w:r>
      <w:r w:rsidR="006446AA">
        <w:rPr>
          <w:rFonts w:ascii="Arial" w:eastAsia="Times New Roman" w:hAnsi="Arial" w:cs="Arial"/>
          <w:color w:val="000000"/>
          <w:sz w:val="20"/>
          <w:szCs w:val="20"/>
        </w:rPr>
        <w:t>tor vehicles and motorcycles (37</w:t>
      </w:r>
      <w:r w:rsidRPr="001B30DF">
        <w:rPr>
          <w:rFonts w:ascii="Arial" w:eastAsia="Times New Roman" w:hAnsi="Arial" w:cs="Arial"/>
          <w:color w:val="000000"/>
          <w:sz w:val="20"/>
          <w:szCs w:val="20"/>
        </w:rPr>
        <w:t>.</w:t>
      </w:r>
      <w:r w:rsidR="00C9112A">
        <w:rPr>
          <w:rFonts w:ascii="Arial" w:eastAsia="Times New Roman" w:hAnsi="Arial" w:cs="Arial"/>
          <w:color w:val="000000"/>
          <w:sz w:val="20"/>
          <w:szCs w:val="20"/>
        </w:rPr>
        <w:t xml:space="preserve">8%), then in Manufacturing </w:t>
      </w:r>
      <w:r w:rsidR="006446AA">
        <w:rPr>
          <w:rFonts w:ascii="Arial" w:eastAsia="Times New Roman" w:hAnsi="Arial" w:cs="Arial"/>
          <w:color w:val="000000"/>
          <w:sz w:val="20"/>
          <w:szCs w:val="20"/>
        </w:rPr>
        <w:t>(23</w:t>
      </w:r>
      <w:r w:rsidRPr="001B30DF">
        <w:rPr>
          <w:rFonts w:ascii="Arial" w:eastAsia="Times New Roman" w:hAnsi="Arial" w:cs="Arial"/>
          <w:color w:val="000000"/>
          <w:sz w:val="20"/>
          <w:szCs w:val="20"/>
        </w:rPr>
        <w:t>.</w:t>
      </w:r>
      <w:r w:rsidR="006446AA">
        <w:rPr>
          <w:rFonts w:ascii="Arial" w:eastAsia="Times New Roman" w:hAnsi="Arial" w:cs="Arial"/>
          <w:color w:val="000000"/>
          <w:sz w:val="20"/>
          <w:szCs w:val="20"/>
        </w:rPr>
        <w:t>5</w:t>
      </w:r>
      <w:r w:rsidRPr="001B30DF">
        <w:rPr>
          <w:rFonts w:ascii="Arial" w:eastAsia="Times New Roman" w:hAnsi="Arial" w:cs="Arial"/>
          <w:color w:val="000000"/>
          <w:sz w:val="20"/>
          <w:szCs w:val="20"/>
        </w:rPr>
        <w:t>%) and in Professional, scientific and technical activities (12.</w:t>
      </w:r>
      <w:r w:rsidR="006446AA">
        <w:rPr>
          <w:rFonts w:ascii="Arial" w:eastAsia="Times New Roman" w:hAnsi="Arial" w:cs="Arial"/>
          <w:color w:val="000000"/>
          <w:sz w:val="20"/>
          <w:szCs w:val="20"/>
        </w:rPr>
        <w:t>8</w:t>
      </w:r>
      <w:r w:rsidRPr="001B30DF">
        <w:rPr>
          <w:rFonts w:ascii="Arial" w:eastAsia="Times New Roman" w:hAnsi="Arial" w:cs="Arial"/>
          <w:color w:val="000000"/>
          <w:sz w:val="20"/>
          <w:szCs w:val="20"/>
        </w:rPr>
        <w:t xml:space="preserve">%). </w:t>
      </w:r>
    </w:p>
    <w:p w:rsidR="001B30DF" w:rsidRPr="001B30DF"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employed</w:t>
      </w:r>
      <w:r w:rsidRPr="001B30DF">
        <w:rPr>
          <w:rFonts w:ascii="Arial" w:eastAsia="Times New Roman" w:hAnsi="Arial" w:cs="Arial"/>
          <w:b/>
          <w:color w:val="000000"/>
          <w:sz w:val="20"/>
          <w:szCs w:val="20"/>
          <w:lang w:val="sr-Cyrl-CS"/>
        </w:rPr>
        <w:t xml:space="preserve"> 1</w:t>
      </w:r>
      <w:r w:rsidR="0012287A">
        <w:rPr>
          <w:rFonts w:ascii="Arial" w:eastAsia="Times New Roman" w:hAnsi="Arial" w:cs="Arial"/>
          <w:b/>
          <w:color w:val="000000"/>
          <w:sz w:val="20"/>
          <w:szCs w:val="20"/>
        </w:rPr>
        <w:t>9</w:t>
      </w:r>
      <w:r w:rsidRPr="001B30DF">
        <w:rPr>
          <w:rFonts w:ascii="Arial" w:eastAsia="Times New Roman" w:hAnsi="Arial" w:cs="Arial"/>
          <w:b/>
          <w:color w:val="000000"/>
          <w:sz w:val="20"/>
          <w:szCs w:val="20"/>
          <w:lang w:val="sr-Cyrl-CS"/>
        </w:rPr>
        <w:t>.</w:t>
      </w:r>
      <w:r w:rsidR="006446AA">
        <w:rPr>
          <w:rFonts w:ascii="Arial" w:eastAsia="Times New Roman" w:hAnsi="Arial" w:cs="Arial"/>
          <w:b/>
          <w:color w:val="000000"/>
          <w:sz w:val="20"/>
          <w:szCs w:val="20"/>
        </w:rPr>
        <w:t>4</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persons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employed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in SBS coverage. In the set of foreign affiliates</w:t>
      </w:r>
      <w:r w:rsidR="0060456A">
        <w:rPr>
          <w:rFonts w:ascii="Arial" w:eastAsia="Times New Roman" w:hAnsi="Arial" w:cs="Arial"/>
          <w:color w:val="000000"/>
          <w:sz w:val="20"/>
          <w:szCs w:val="20"/>
        </w:rPr>
        <w:t xml:space="preserve"> over </w:t>
      </w:r>
      <w:r w:rsidRPr="001B30DF">
        <w:rPr>
          <w:rFonts w:ascii="Arial" w:eastAsia="Times New Roman" w:hAnsi="Arial" w:cs="Arial"/>
          <w:color w:val="000000"/>
          <w:sz w:val="20"/>
          <w:szCs w:val="20"/>
        </w:rPr>
        <w:t xml:space="preserve">80% of persons employed were </w:t>
      </w:r>
      <w:r w:rsidR="006446AA">
        <w:rPr>
          <w:rFonts w:ascii="Arial" w:eastAsia="Times New Roman" w:hAnsi="Arial" w:cs="Arial"/>
          <w:color w:val="000000"/>
          <w:sz w:val="20"/>
          <w:szCs w:val="20"/>
        </w:rPr>
        <w:t>in the sections Manufacturing (51</w:t>
      </w:r>
      <w:r w:rsidRPr="001B30DF">
        <w:rPr>
          <w:rFonts w:ascii="Arial" w:eastAsia="Times New Roman" w:hAnsi="Arial" w:cs="Arial"/>
          <w:color w:val="000000"/>
          <w:sz w:val="20"/>
          <w:szCs w:val="20"/>
        </w:rPr>
        <w:t>.</w:t>
      </w:r>
      <w:r w:rsidR="006446AA">
        <w:rPr>
          <w:rFonts w:ascii="Arial" w:eastAsia="Times New Roman" w:hAnsi="Arial" w:cs="Arial"/>
          <w:color w:val="000000"/>
          <w:sz w:val="20"/>
          <w:szCs w:val="20"/>
        </w:rPr>
        <w:t>2</w:t>
      </w:r>
      <w:r w:rsidRPr="001B30DF">
        <w:rPr>
          <w:rFonts w:ascii="Arial" w:eastAsia="Times New Roman" w:hAnsi="Arial" w:cs="Arial"/>
          <w:color w:val="000000"/>
          <w:sz w:val="20"/>
          <w:szCs w:val="20"/>
        </w:rPr>
        <w:t>%), Wholesale and retail trade; repair of motor vehicles and motorcycles (2</w:t>
      </w:r>
      <w:r w:rsidR="006446AA">
        <w:rPr>
          <w:rFonts w:ascii="Arial" w:eastAsia="Times New Roman" w:hAnsi="Arial" w:cs="Arial"/>
          <w:color w:val="000000"/>
          <w:sz w:val="20"/>
          <w:szCs w:val="20"/>
        </w:rPr>
        <w:t>2.8</w:t>
      </w:r>
      <w:r w:rsidRPr="001B30DF">
        <w:rPr>
          <w:rFonts w:ascii="Arial" w:eastAsia="Times New Roman" w:hAnsi="Arial" w:cs="Arial"/>
          <w:color w:val="000000"/>
          <w:sz w:val="20"/>
          <w:szCs w:val="20"/>
        </w:rPr>
        <w:t>%) and Administrative and support service activities (</w:t>
      </w:r>
      <w:r w:rsidR="0012287A">
        <w:rPr>
          <w:rFonts w:ascii="Arial" w:eastAsia="Times New Roman" w:hAnsi="Arial" w:cs="Arial"/>
          <w:color w:val="000000"/>
          <w:sz w:val="20"/>
          <w:szCs w:val="20"/>
        </w:rPr>
        <w:t>7</w:t>
      </w:r>
      <w:r w:rsidRPr="001B30DF">
        <w:rPr>
          <w:rFonts w:ascii="Arial" w:eastAsia="Times New Roman" w:hAnsi="Arial" w:cs="Arial"/>
          <w:color w:val="000000"/>
          <w:sz w:val="20"/>
          <w:szCs w:val="20"/>
        </w:rPr>
        <w:t>.</w:t>
      </w:r>
      <w:r w:rsidR="006446AA">
        <w:rPr>
          <w:rFonts w:ascii="Arial" w:eastAsia="Times New Roman" w:hAnsi="Arial" w:cs="Arial"/>
          <w:color w:val="000000"/>
          <w:sz w:val="20"/>
          <w:szCs w:val="20"/>
        </w:rPr>
        <w:t>4</w:t>
      </w:r>
      <w:r w:rsidRPr="001B30DF">
        <w:rPr>
          <w:rFonts w:ascii="Arial" w:eastAsia="Times New Roman" w:hAnsi="Arial" w:cs="Arial"/>
          <w:color w:val="000000"/>
          <w:sz w:val="20"/>
          <w:szCs w:val="20"/>
        </w:rPr>
        <w:t xml:space="preserve">%). </w:t>
      </w:r>
      <w:r w:rsidRPr="001B30DF">
        <w:rPr>
          <w:rFonts w:ascii="Arial" w:eastAsia="Times New Roman" w:hAnsi="Arial" w:cs="Arial"/>
          <w:b/>
          <w:color w:val="000000"/>
          <w:sz w:val="20"/>
          <w:szCs w:val="20"/>
          <w:lang w:val="sr-Cyrl-CS"/>
        </w:rPr>
        <w:t xml:space="preserve">  </w:t>
      </w:r>
    </w:p>
    <w:p w:rsidR="001B30DF" w:rsidRPr="001B30DF"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share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proofErr w:type="spellStart"/>
      <w:r w:rsidRPr="001B30DF">
        <w:rPr>
          <w:rFonts w:ascii="Arial" w:eastAsia="Times New Roman" w:hAnsi="Arial" w:cs="Arial"/>
          <w:b/>
          <w:color w:val="000000"/>
          <w:sz w:val="20"/>
          <w:szCs w:val="20"/>
        </w:rPr>
        <w:t>realised</w:t>
      </w:r>
      <w:proofErr w:type="spellEnd"/>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value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added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SBS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coverage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3</w:t>
      </w:r>
      <w:r w:rsidR="00EB5049">
        <w:rPr>
          <w:rFonts w:ascii="Arial" w:eastAsia="Times New Roman" w:hAnsi="Arial" w:cs="Arial"/>
          <w:b/>
          <w:color w:val="000000"/>
          <w:sz w:val="20"/>
          <w:szCs w:val="20"/>
        </w:rPr>
        <w:t>2</w:t>
      </w:r>
      <w:r w:rsidRPr="001B30DF">
        <w:rPr>
          <w:rFonts w:ascii="Arial" w:eastAsia="Times New Roman" w:hAnsi="Arial" w:cs="Arial"/>
          <w:b/>
          <w:color w:val="000000"/>
          <w:sz w:val="20"/>
          <w:szCs w:val="20"/>
          <w:lang w:val="sr-Cyrl-CS"/>
        </w:rPr>
        <w:t>.</w:t>
      </w:r>
      <w:r w:rsidR="00037244">
        <w:rPr>
          <w:rFonts w:ascii="Arial" w:eastAsia="Times New Roman" w:hAnsi="Arial" w:cs="Arial"/>
          <w:b/>
          <w:color w:val="000000"/>
          <w:sz w:val="20"/>
          <w:szCs w:val="20"/>
        </w:rPr>
        <w:t>5</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meaning</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that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total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value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added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was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to</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that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extent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under</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control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enterprises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majority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capital. The largest contribution to the value added of foreign affiliates (over 80</w:t>
      </w:r>
      <w:r w:rsidR="00EB5049">
        <w:rPr>
          <w:rFonts w:ascii="Arial" w:eastAsia="Times New Roman" w:hAnsi="Arial" w:cs="Arial"/>
          <w:color w:val="000000"/>
          <w:sz w:val="20"/>
          <w:szCs w:val="20"/>
        </w:rPr>
        <w:t>%) was that in Manufacturing (50</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8</w:t>
      </w:r>
      <w:r w:rsidRPr="001B30DF">
        <w:rPr>
          <w:rFonts w:ascii="Arial" w:eastAsia="Times New Roman" w:hAnsi="Arial" w:cs="Arial"/>
          <w:color w:val="000000"/>
          <w:sz w:val="20"/>
          <w:szCs w:val="20"/>
        </w:rPr>
        <w:t>%), then Wholesale and retail trade; repair and motor vehicles and motorcycles (</w:t>
      </w:r>
      <w:r w:rsidR="00EB5049">
        <w:rPr>
          <w:rFonts w:ascii="Arial" w:eastAsia="Times New Roman" w:hAnsi="Arial" w:cs="Arial"/>
          <w:color w:val="000000"/>
          <w:sz w:val="20"/>
          <w:szCs w:val="20"/>
        </w:rPr>
        <w:t>18</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9</w:t>
      </w:r>
      <w:r w:rsidRPr="001B30DF">
        <w:rPr>
          <w:rFonts w:ascii="Arial" w:eastAsia="Times New Roman" w:hAnsi="Arial" w:cs="Arial"/>
          <w:color w:val="000000"/>
          <w:sz w:val="20"/>
          <w:szCs w:val="20"/>
        </w:rPr>
        <w:t>%) and Inf</w:t>
      </w:r>
      <w:r w:rsidR="00EB5049">
        <w:rPr>
          <w:rFonts w:ascii="Arial" w:eastAsia="Times New Roman" w:hAnsi="Arial" w:cs="Arial"/>
          <w:color w:val="000000"/>
          <w:sz w:val="20"/>
          <w:szCs w:val="20"/>
        </w:rPr>
        <w:t>ormation and communication (12</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7</w:t>
      </w:r>
      <w:r w:rsidRPr="001B30DF">
        <w:rPr>
          <w:rFonts w:ascii="Arial" w:eastAsia="Times New Roman" w:hAnsi="Arial" w:cs="Arial"/>
          <w:color w:val="000000"/>
          <w:sz w:val="20"/>
          <w:szCs w:val="20"/>
        </w:rPr>
        <w:t xml:space="preserve">%). In Manufacturing, the greatest share in the value added was noted in the divisions </w:t>
      </w:r>
      <w:r w:rsidR="00EB5049" w:rsidRPr="001B30DF">
        <w:rPr>
          <w:rFonts w:ascii="Arial" w:eastAsia="Times New Roman" w:hAnsi="Arial" w:cs="Arial"/>
          <w:color w:val="000000"/>
          <w:sz w:val="20"/>
          <w:szCs w:val="20"/>
        </w:rPr>
        <w:t>Manufacture of food products (1</w:t>
      </w:r>
      <w:r w:rsidR="00EB5049">
        <w:rPr>
          <w:rFonts w:ascii="Arial" w:eastAsia="Times New Roman" w:hAnsi="Arial" w:cs="Arial"/>
          <w:color w:val="000000"/>
          <w:sz w:val="20"/>
          <w:szCs w:val="20"/>
        </w:rPr>
        <w:t>6</w:t>
      </w:r>
      <w:r w:rsidR="00EB5049"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6</w:t>
      </w:r>
      <w:r w:rsidR="00EB5049"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 xml:space="preserve"> and </w:t>
      </w:r>
      <w:r w:rsidRPr="001B30DF">
        <w:rPr>
          <w:rFonts w:ascii="Arial" w:eastAsia="Times New Roman" w:hAnsi="Arial" w:cs="Arial"/>
          <w:color w:val="000000"/>
          <w:sz w:val="20"/>
          <w:szCs w:val="20"/>
        </w:rPr>
        <w:t>Manufacture of coke and refined petroleum products (</w:t>
      </w:r>
      <w:r w:rsidR="00EB5049">
        <w:rPr>
          <w:rFonts w:ascii="Arial" w:eastAsia="Times New Roman" w:hAnsi="Arial" w:cs="Arial"/>
          <w:color w:val="000000"/>
          <w:sz w:val="20"/>
          <w:szCs w:val="20"/>
        </w:rPr>
        <w:t>15</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5%).</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b/>
          <w:color w:val="000000"/>
          <w:sz w:val="20"/>
          <w:szCs w:val="20"/>
          <w:lang w:val="sr-Cyrl-CS"/>
        </w:rPr>
        <w:t xml:space="preserve"> </w:t>
      </w:r>
    </w:p>
    <w:p w:rsidR="00F27A5F" w:rsidRDefault="0023018B" w:rsidP="001B30DF">
      <w:pPr>
        <w:autoSpaceDE w:val="0"/>
        <w:autoSpaceDN w:val="0"/>
        <w:adjustRightInd w:val="0"/>
        <w:spacing w:after="0" w:line="240" w:lineRule="auto"/>
        <w:rPr>
          <w:rFonts w:ascii="Arial" w:eastAsia="Times New Roman" w:hAnsi="Arial" w:cs="Arial"/>
          <w:color w:val="000000"/>
          <w:sz w:val="20"/>
          <w:szCs w:val="20"/>
        </w:rPr>
      </w:pPr>
      <w:r>
        <w:rPr>
          <w:noProof/>
        </w:rPr>
        <w:lastRenderedPageBreak/>
        <w:drawing>
          <wp:inline distT="0" distB="0" distL="0" distR="0" wp14:anchorId="71319264" wp14:editId="2BB4A4E5">
            <wp:extent cx="6724650" cy="28098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7308" w:rsidRDefault="00127308" w:rsidP="001B30DF">
      <w:pPr>
        <w:autoSpaceDE w:val="0"/>
        <w:autoSpaceDN w:val="0"/>
        <w:adjustRightInd w:val="0"/>
        <w:spacing w:after="0" w:line="240" w:lineRule="auto"/>
        <w:rPr>
          <w:rFonts w:ascii="Arial" w:eastAsia="Times New Roman" w:hAnsi="Arial" w:cs="Arial"/>
          <w:color w:val="000000"/>
          <w:sz w:val="20"/>
          <w:szCs w:val="20"/>
        </w:rPr>
      </w:pPr>
    </w:p>
    <w:p w:rsidR="00127308" w:rsidRDefault="00127308" w:rsidP="001B30DF">
      <w:pPr>
        <w:autoSpaceDE w:val="0"/>
        <w:autoSpaceDN w:val="0"/>
        <w:adjustRightInd w:val="0"/>
        <w:spacing w:after="0" w:line="240" w:lineRule="auto"/>
        <w:rPr>
          <w:rFonts w:ascii="Arial" w:eastAsia="Times New Roman" w:hAnsi="Arial" w:cs="Arial"/>
          <w:color w:val="000000"/>
          <w:sz w:val="20"/>
          <w:szCs w:val="20"/>
        </w:rPr>
      </w:pP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Observed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countries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where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seats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ultimate controlling institutional unit of the foreign affiliate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most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important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results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follows</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sidRPr="001B30DF">
        <w:rPr>
          <w:rFonts w:ascii="Arial" w:eastAsia="Times New Roman" w:hAnsi="Arial" w:cs="Arial"/>
          <w:b/>
          <w:color w:val="000000"/>
          <w:sz w:val="20"/>
          <w:szCs w:val="20"/>
          <w:lang w:val="sr-Cyrl-CS"/>
        </w:rPr>
        <w:t>7</w:t>
      </w:r>
      <w:r w:rsidR="00EB5049">
        <w:rPr>
          <w:rFonts w:ascii="Arial" w:eastAsia="Times New Roman" w:hAnsi="Arial" w:cs="Arial"/>
          <w:b/>
          <w:color w:val="000000"/>
          <w:sz w:val="20"/>
          <w:szCs w:val="20"/>
        </w:rPr>
        <w:t>7</w:t>
      </w:r>
      <w:r w:rsidRPr="001B30DF">
        <w:rPr>
          <w:rFonts w:ascii="Arial" w:eastAsia="Times New Roman" w:hAnsi="Arial" w:cs="Arial"/>
          <w:b/>
          <w:color w:val="000000"/>
          <w:sz w:val="20"/>
          <w:szCs w:val="20"/>
        </w:rPr>
        <w:t>.</w:t>
      </w:r>
      <w:r w:rsidR="00EB5049">
        <w:rPr>
          <w:rFonts w:ascii="Arial" w:eastAsia="Times New Roman" w:hAnsi="Arial" w:cs="Arial"/>
          <w:b/>
          <w:color w:val="000000"/>
          <w:sz w:val="20"/>
          <w:szCs w:val="20"/>
        </w:rPr>
        <w:t>3</w:t>
      </w:r>
      <w:r w:rsidRPr="001B30DF">
        <w:rPr>
          <w:rFonts w:ascii="Arial" w:eastAsia="Times New Roman" w:hAnsi="Arial" w:cs="Arial"/>
          <w:b/>
          <w:color w:val="000000"/>
          <w:sz w:val="20"/>
          <w:szCs w:val="20"/>
          <w:lang w:val="sr-Cyrl-CS"/>
        </w:rPr>
        <w: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number</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affiliates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originate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b/>
          <w:color w:val="000000"/>
          <w:sz w:val="20"/>
          <w:szCs w:val="20"/>
        </w:rPr>
        <w:t>from</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EU</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member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countries</w:t>
      </w:r>
      <w:r w:rsidRPr="001B30DF">
        <w:rPr>
          <w:rFonts w:ascii="Arial" w:eastAsia="Times New Roman" w:hAnsi="Arial" w:cs="Arial"/>
          <w:b/>
          <w:color w:val="000000"/>
          <w:sz w:val="20"/>
          <w:szCs w:val="20"/>
          <w:lang w:val="sr-Cyrl-CS"/>
        </w:rPr>
        <w:t xml:space="preserve">, </w:t>
      </w:r>
      <w:r w:rsidR="00EB5049">
        <w:rPr>
          <w:rFonts w:ascii="Arial" w:eastAsia="Times New Roman" w:hAnsi="Arial" w:cs="Arial"/>
          <w:color w:val="000000"/>
          <w:sz w:val="20"/>
          <w:szCs w:val="20"/>
        </w:rPr>
        <w:t>20</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8</w:t>
      </w:r>
      <w:r w:rsidRPr="001B30DF">
        <w:rPr>
          <w:rFonts w:ascii="Arial" w:eastAsia="Times New Roman" w:hAnsi="Arial" w:cs="Arial"/>
          <w:color w:val="000000"/>
          <w:sz w:val="20"/>
          <w:szCs w:val="20"/>
        </w:rPr>
        <w:t>% from countries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outside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European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Union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and</w:t>
      </w:r>
      <w:r w:rsidR="00EB5049">
        <w:rPr>
          <w:rFonts w:ascii="Arial" w:eastAsia="Times New Roman" w:hAnsi="Arial" w:cs="Arial"/>
          <w:color w:val="000000"/>
          <w:sz w:val="20"/>
          <w:szCs w:val="20"/>
          <w:lang w:val="sr-Cyrl-CS"/>
        </w:rPr>
        <w:t xml:space="preserve"> 1</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9</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from</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offshore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financial</w:t>
      </w:r>
      <w:r w:rsidRPr="001B30DF">
        <w:rPr>
          <w:rFonts w:ascii="Arial" w:eastAsia="Times New Roman" w:hAnsi="Arial" w:cs="Arial"/>
          <w:color w:val="000000"/>
          <w:sz w:val="20"/>
          <w:szCs w:val="20"/>
          <w:lang w:val="sr-Cyrl-CS"/>
        </w:rPr>
        <w:t xml:space="preserve"> </w:t>
      </w:r>
      <w:proofErr w:type="spellStart"/>
      <w:r w:rsidRPr="001B30DF">
        <w:rPr>
          <w:rFonts w:ascii="Arial" w:eastAsia="Times New Roman" w:hAnsi="Arial" w:cs="Arial"/>
          <w:color w:val="000000"/>
          <w:sz w:val="20"/>
          <w:szCs w:val="20"/>
        </w:rPr>
        <w:t>centres</w:t>
      </w:r>
      <w:proofErr w:type="spellEnd"/>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w:t>
      </w:r>
      <w:r w:rsidRPr="001B30DF">
        <w:rPr>
          <w:rFonts w:ascii="Arial" w:eastAsia="Times New Roman" w:hAnsi="Arial" w:cs="Arial"/>
          <w:color w:val="000000"/>
          <w:sz w:val="20"/>
          <w:szCs w:val="20"/>
          <w:lang w:val="sr-Cyrl-CS"/>
        </w:rPr>
        <w:t xml:space="preserve"> </w:t>
      </w:r>
    </w:p>
    <w:p w:rsidR="001B30DF" w:rsidRPr="001B30DF" w:rsidRDefault="00EB5049"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Pr>
          <w:rFonts w:ascii="Arial" w:eastAsia="Times New Roman" w:hAnsi="Arial" w:cs="Arial"/>
          <w:b/>
          <w:color w:val="000000"/>
          <w:sz w:val="20"/>
          <w:szCs w:val="20"/>
        </w:rPr>
        <w:t>78</w:t>
      </w:r>
      <w:r w:rsidR="001B30DF" w:rsidRPr="001B30DF">
        <w:rPr>
          <w:rFonts w:ascii="Arial" w:eastAsia="Times New Roman" w:hAnsi="Arial" w:cs="Arial"/>
          <w:b/>
          <w:color w:val="000000"/>
          <w:sz w:val="20"/>
          <w:szCs w:val="20"/>
        </w:rPr>
        <w:t>.</w:t>
      </w:r>
      <w:r>
        <w:rPr>
          <w:rFonts w:ascii="Arial" w:eastAsia="Times New Roman" w:hAnsi="Arial" w:cs="Arial"/>
          <w:b/>
          <w:color w:val="000000"/>
          <w:sz w:val="20"/>
          <w:szCs w:val="20"/>
        </w:rPr>
        <w:t>6</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of</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number</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of</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persons</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employed in foreign affiliates originate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b/>
          <w:color w:val="000000"/>
          <w:sz w:val="20"/>
          <w:szCs w:val="20"/>
        </w:rPr>
        <w:t>from</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EU</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member</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countries</w:t>
      </w:r>
      <w:r w:rsidR="001B30DF" w:rsidRPr="001B30DF">
        <w:rPr>
          <w:rFonts w:ascii="Arial" w:eastAsia="Times New Roman" w:hAnsi="Arial" w:cs="Arial"/>
          <w:b/>
          <w:color w:val="000000"/>
          <w:sz w:val="20"/>
          <w:szCs w:val="20"/>
          <w:lang w:val="sr-Cyrl-CS"/>
        </w:rPr>
        <w:t>,</w:t>
      </w:r>
      <w:r w:rsidR="001B30DF" w:rsidRPr="001B30DF">
        <w:rPr>
          <w:rFonts w:ascii="Arial" w:eastAsia="Times New Roman" w:hAnsi="Arial" w:cs="Arial"/>
          <w:b/>
          <w:color w:val="000000"/>
          <w:sz w:val="20"/>
          <w:szCs w:val="20"/>
        </w:rPr>
        <w:t xml:space="preserve"> </w:t>
      </w:r>
      <w:r>
        <w:rPr>
          <w:rFonts w:ascii="Arial" w:eastAsia="Times New Roman" w:hAnsi="Arial" w:cs="Arial"/>
          <w:color w:val="000000"/>
          <w:sz w:val="20"/>
          <w:szCs w:val="20"/>
        </w:rPr>
        <w:t>20</w:t>
      </w:r>
      <w:r w:rsidR="001B30DF" w:rsidRPr="001B30DF">
        <w:rPr>
          <w:rFonts w:ascii="Arial" w:eastAsia="Times New Roman" w:hAnsi="Arial" w:cs="Arial"/>
          <w:color w:val="000000"/>
          <w:sz w:val="20"/>
          <w:szCs w:val="20"/>
        </w:rPr>
        <w:t>.</w:t>
      </w:r>
      <w:r>
        <w:rPr>
          <w:rFonts w:ascii="Arial" w:eastAsia="Times New Roman" w:hAnsi="Arial" w:cs="Arial"/>
          <w:color w:val="000000"/>
          <w:sz w:val="20"/>
          <w:szCs w:val="20"/>
        </w:rPr>
        <w:t>1</w:t>
      </w:r>
      <w:r w:rsidR="001B30DF" w:rsidRPr="001B30DF">
        <w:rPr>
          <w:rFonts w:ascii="Arial" w:eastAsia="Times New Roman" w:hAnsi="Arial" w:cs="Arial"/>
          <w:color w:val="000000"/>
          <w:sz w:val="20"/>
          <w:szCs w:val="20"/>
        </w:rPr>
        <w:t>% from countries</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outside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European</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 xml:space="preserve">Union and </w:t>
      </w:r>
      <w:r w:rsidR="00BA059C">
        <w:rPr>
          <w:rFonts w:ascii="Arial" w:eastAsia="Times New Roman" w:hAnsi="Arial" w:cs="Arial"/>
          <w:color w:val="000000"/>
          <w:sz w:val="20"/>
          <w:szCs w:val="20"/>
        </w:rPr>
        <w:t>1</w:t>
      </w:r>
      <w:r w:rsidR="001B30DF" w:rsidRPr="001B30DF">
        <w:rPr>
          <w:rFonts w:ascii="Arial" w:eastAsia="Times New Roman" w:hAnsi="Arial" w:cs="Arial"/>
          <w:color w:val="000000"/>
          <w:sz w:val="20"/>
          <w:szCs w:val="20"/>
        </w:rPr>
        <w:t>.</w:t>
      </w:r>
      <w:r>
        <w:rPr>
          <w:rFonts w:ascii="Arial" w:eastAsia="Times New Roman" w:hAnsi="Arial" w:cs="Arial"/>
          <w:color w:val="000000"/>
          <w:sz w:val="20"/>
          <w:szCs w:val="20"/>
        </w:rPr>
        <w:t>3</w:t>
      </w:r>
      <w:r w:rsidR="001B30DF" w:rsidRPr="001B30DF">
        <w:rPr>
          <w:rFonts w:ascii="Arial" w:eastAsia="Times New Roman" w:hAnsi="Arial" w:cs="Arial"/>
          <w:color w:val="000000"/>
          <w:sz w:val="20"/>
          <w:szCs w:val="20"/>
        </w:rPr>
        <w:t xml:space="preserve">% from offshore financial </w:t>
      </w:r>
      <w:proofErr w:type="spellStart"/>
      <w:r w:rsidR="001B30DF" w:rsidRPr="001B30DF">
        <w:rPr>
          <w:rFonts w:ascii="Arial" w:eastAsia="Times New Roman" w:hAnsi="Arial" w:cs="Arial"/>
          <w:color w:val="000000"/>
          <w:sz w:val="20"/>
          <w:szCs w:val="20"/>
        </w:rPr>
        <w:t>centres</w:t>
      </w:r>
      <w:proofErr w:type="spellEnd"/>
      <w:r w:rsidR="001B30DF" w:rsidRPr="001B30DF">
        <w:rPr>
          <w:rFonts w:ascii="Arial" w:eastAsia="Times New Roman" w:hAnsi="Arial" w:cs="Arial"/>
          <w:color w:val="000000"/>
          <w:sz w:val="20"/>
          <w:szCs w:val="20"/>
        </w:rPr>
        <w:t>.</w:t>
      </w:r>
    </w:p>
    <w:p w:rsidR="001B30DF" w:rsidRPr="001B30DF" w:rsidRDefault="00EB5049"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Pr>
          <w:rFonts w:ascii="Arial" w:eastAsia="Times New Roman" w:hAnsi="Arial" w:cs="Arial"/>
          <w:b/>
          <w:color w:val="000000"/>
          <w:sz w:val="20"/>
          <w:szCs w:val="20"/>
        </w:rPr>
        <w:t>70</w:t>
      </w:r>
      <w:r w:rsidR="001B30DF" w:rsidRPr="001B30DF">
        <w:rPr>
          <w:rFonts w:ascii="Arial" w:eastAsia="Times New Roman" w:hAnsi="Arial" w:cs="Arial"/>
          <w:b/>
          <w:color w:val="000000"/>
          <w:sz w:val="20"/>
          <w:szCs w:val="20"/>
        </w:rPr>
        <w:t>.</w:t>
      </w:r>
      <w:r>
        <w:rPr>
          <w:rFonts w:ascii="Arial" w:eastAsia="Times New Roman" w:hAnsi="Arial" w:cs="Arial"/>
          <w:b/>
          <w:color w:val="000000"/>
          <w:sz w:val="20"/>
          <w:szCs w:val="20"/>
        </w:rPr>
        <w:t>7</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of the value added produced in</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foreign affiliates originate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b/>
          <w:color w:val="000000"/>
          <w:sz w:val="20"/>
          <w:szCs w:val="20"/>
        </w:rPr>
        <w:t>from</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EU</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member</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 xml:space="preserve">countries, </w:t>
      </w:r>
      <w:r>
        <w:rPr>
          <w:rFonts w:ascii="Arial" w:eastAsia="Times New Roman" w:hAnsi="Arial" w:cs="Arial"/>
          <w:color w:val="000000"/>
          <w:sz w:val="20"/>
          <w:szCs w:val="20"/>
        </w:rPr>
        <w:t>28</w:t>
      </w:r>
      <w:r w:rsidR="001B30DF" w:rsidRPr="001B30DF">
        <w:rPr>
          <w:rFonts w:ascii="Arial" w:eastAsia="Times New Roman" w:hAnsi="Arial" w:cs="Arial"/>
          <w:color w:val="000000"/>
          <w:sz w:val="20"/>
          <w:szCs w:val="20"/>
        </w:rPr>
        <w:t>.</w:t>
      </w:r>
      <w:r>
        <w:rPr>
          <w:rFonts w:ascii="Arial" w:eastAsia="Times New Roman" w:hAnsi="Arial" w:cs="Arial"/>
          <w:color w:val="000000"/>
          <w:sz w:val="20"/>
          <w:szCs w:val="20"/>
        </w:rPr>
        <w:t>5</w:t>
      </w:r>
      <w:r w:rsidR="001B30DF" w:rsidRPr="001B30DF">
        <w:rPr>
          <w:rFonts w:ascii="Arial" w:eastAsia="Times New Roman" w:hAnsi="Arial" w:cs="Arial"/>
          <w:color w:val="000000"/>
          <w:sz w:val="20"/>
          <w:szCs w:val="20"/>
        </w:rPr>
        <w:t>%</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from countries</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outside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European</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Union and 0.</w:t>
      </w:r>
      <w:r w:rsidR="00BA059C">
        <w:rPr>
          <w:rFonts w:ascii="Arial" w:eastAsia="Times New Roman" w:hAnsi="Arial" w:cs="Arial"/>
          <w:color w:val="000000"/>
          <w:sz w:val="20"/>
          <w:szCs w:val="20"/>
        </w:rPr>
        <w:t>8</w:t>
      </w:r>
      <w:r w:rsidR="001B30DF" w:rsidRPr="001B30DF">
        <w:rPr>
          <w:rFonts w:ascii="Arial" w:eastAsia="Times New Roman" w:hAnsi="Arial" w:cs="Arial"/>
          <w:color w:val="000000"/>
          <w:sz w:val="20"/>
          <w:szCs w:val="20"/>
        </w:rPr>
        <w:t xml:space="preserve">% from offshore financial </w:t>
      </w:r>
      <w:proofErr w:type="spellStart"/>
      <w:r w:rsidR="001B30DF" w:rsidRPr="001B30DF">
        <w:rPr>
          <w:rFonts w:ascii="Arial" w:eastAsia="Times New Roman" w:hAnsi="Arial" w:cs="Arial"/>
          <w:color w:val="000000"/>
          <w:sz w:val="20"/>
          <w:szCs w:val="20"/>
        </w:rPr>
        <w:t>centres</w:t>
      </w:r>
      <w:proofErr w:type="spellEnd"/>
      <w:r w:rsidR="001B30DF" w:rsidRPr="001B30DF">
        <w:rPr>
          <w:rFonts w:ascii="Arial" w:eastAsia="Times New Roman" w:hAnsi="Arial" w:cs="Arial"/>
          <w:color w:val="000000"/>
          <w:sz w:val="20"/>
          <w:szCs w:val="20"/>
        </w:rPr>
        <w:t>.</w:t>
      </w:r>
    </w:p>
    <w:p w:rsidR="001B30DF" w:rsidRPr="0038257B"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lang w:val="sr-Cyrl-CS"/>
        </w:rPr>
        <w:t>2</w:t>
      </w:r>
      <w:r w:rsidR="00440294">
        <w:rPr>
          <w:rFonts w:ascii="Arial" w:eastAsia="Times New Roman" w:hAnsi="Arial" w:cs="Arial"/>
          <w:b/>
          <w:color w:val="000000"/>
          <w:sz w:val="20"/>
          <w:szCs w:val="20"/>
          <w:lang w:val="sr-Latn-CS"/>
        </w:rPr>
        <w:t>3</w:t>
      </w:r>
      <w:r w:rsidRPr="001B30DF">
        <w:rPr>
          <w:rFonts w:ascii="Arial" w:eastAsia="Times New Roman" w:hAnsi="Arial" w:cs="Arial"/>
          <w:b/>
          <w:color w:val="000000"/>
          <w:sz w:val="20"/>
          <w:szCs w:val="20"/>
          <w:lang w:val="sr-Cyrl-CS"/>
        </w:rPr>
        <w:t>.</w:t>
      </w:r>
      <w:r w:rsidR="00440294">
        <w:rPr>
          <w:rFonts w:ascii="Arial" w:eastAsia="Times New Roman" w:hAnsi="Arial" w:cs="Arial"/>
          <w:b/>
          <w:color w:val="000000"/>
          <w:sz w:val="20"/>
          <w:szCs w:val="20"/>
          <w:lang w:val="sr-Latn-CS"/>
        </w:rPr>
        <w:t>0</w:t>
      </w:r>
      <w:r w:rsidRPr="001B30DF">
        <w:rPr>
          <w:rFonts w:ascii="Arial" w:eastAsia="Times New Roman" w:hAnsi="Arial" w:cs="Arial"/>
          <w:b/>
          <w:color w:val="000000"/>
          <w:sz w:val="20"/>
          <w:szCs w:val="20"/>
          <w:lang w:val="sr-Cyrl-CS"/>
        </w:rPr>
        <w:t>% о</w:t>
      </w:r>
      <w:proofErr w:type="spellStart"/>
      <w:r w:rsidRPr="001B30DF">
        <w:rPr>
          <w:rFonts w:ascii="Arial" w:eastAsia="Times New Roman" w:hAnsi="Arial" w:cs="Arial"/>
          <w:b/>
          <w:color w:val="000000"/>
          <w:sz w:val="20"/>
          <w:szCs w:val="20"/>
        </w:rPr>
        <w:t>f</w:t>
      </w:r>
      <w:proofErr w:type="spellEnd"/>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value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added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SBS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coverage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under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control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capital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from</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nine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countries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primarily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Russian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Federation</w:t>
      </w:r>
      <w:r w:rsidRPr="001B30DF">
        <w:rPr>
          <w:rFonts w:ascii="Arial" w:eastAsia="Times New Roman" w:hAnsi="Arial" w:cs="Arial"/>
          <w:color w:val="000000"/>
          <w:sz w:val="20"/>
          <w:szCs w:val="20"/>
          <w:lang w:val="sr-Cyrl-CS"/>
        </w:rPr>
        <w:t xml:space="preserve"> (</w:t>
      </w:r>
      <w:r w:rsidR="00440294">
        <w:rPr>
          <w:rFonts w:ascii="Arial" w:eastAsia="Times New Roman" w:hAnsi="Arial" w:cs="Arial"/>
          <w:color w:val="000000"/>
          <w:sz w:val="20"/>
          <w:szCs w:val="20"/>
        </w:rPr>
        <w:t>4</w:t>
      </w:r>
      <w:r w:rsidRPr="001B30DF">
        <w:rPr>
          <w:rFonts w:ascii="Arial" w:eastAsia="Times New Roman" w:hAnsi="Arial" w:cs="Arial"/>
          <w:color w:val="000000"/>
          <w:sz w:val="20"/>
          <w:szCs w:val="20"/>
        </w:rPr>
        <w:t>.</w:t>
      </w:r>
      <w:r w:rsidR="00401F44">
        <w:rPr>
          <w:rFonts w:ascii="Arial" w:eastAsia="Times New Roman" w:hAnsi="Arial" w:cs="Arial"/>
          <w:color w:val="000000"/>
          <w:sz w:val="20"/>
          <w:szCs w:val="20"/>
        </w:rPr>
        <w:t>1</w:t>
      </w:r>
      <w:r w:rsidRPr="001B30DF">
        <w:rPr>
          <w:rFonts w:ascii="Arial" w:eastAsia="Times New Roman" w:hAnsi="Arial" w:cs="Arial"/>
          <w:color w:val="000000"/>
          <w:sz w:val="20"/>
          <w:szCs w:val="20"/>
          <w:lang w:val="sr-Cyrl-CS"/>
        </w:rPr>
        <w:t>%),</w:t>
      </w:r>
      <w:r w:rsidR="00440294">
        <w:rPr>
          <w:rFonts w:ascii="Arial" w:eastAsia="Times New Roman" w:hAnsi="Arial" w:cs="Arial"/>
          <w:color w:val="000000"/>
          <w:sz w:val="20"/>
          <w:szCs w:val="20"/>
          <w:lang w:val="sr-Latn-RS"/>
        </w:rPr>
        <w:t xml:space="preserve"> </w:t>
      </w:r>
      <w:r w:rsidR="00440294">
        <w:rPr>
          <w:rFonts w:ascii="Arial" w:eastAsia="Times New Roman" w:hAnsi="Arial" w:cs="Arial"/>
          <w:color w:val="000000"/>
          <w:sz w:val="20"/>
          <w:szCs w:val="20"/>
        </w:rPr>
        <w:t>Germany (3</w:t>
      </w:r>
      <w:r w:rsidR="00440294" w:rsidRPr="001B30DF">
        <w:rPr>
          <w:rFonts w:ascii="Arial" w:eastAsia="Times New Roman" w:hAnsi="Arial" w:cs="Arial"/>
          <w:color w:val="000000"/>
          <w:sz w:val="20"/>
          <w:szCs w:val="20"/>
        </w:rPr>
        <w:t>.</w:t>
      </w:r>
      <w:r w:rsidR="00440294">
        <w:rPr>
          <w:rFonts w:ascii="Arial" w:eastAsia="Times New Roman" w:hAnsi="Arial" w:cs="Arial"/>
          <w:color w:val="000000"/>
          <w:sz w:val="20"/>
          <w:szCs w:val="20"/>
        </w:rPr>
        <w:t xml:space="preserve">6%), </w:t>
      </w:r>
      <w:r w:rsidRPr="001B30DF">
        <w:rPr>
          <w:rFonts w:ascii="Arial" w:eastAsia="Times New Roman" w:hAnsi="Arial" w:cs="Arial"/>
          <w:color w:val="000000"/>
          <w:sz w:val="20"/>
          <w:szCs w:val="20"/>
        </w:rPr>
        <w:t>Netherlands</w:t>
      </w:r>
      <w:r w:rsidRPr="001B30DF">
        <w:rPr>
          <w:rFonts w:ascii="Arial" w:eastAsia="Times New Roman" w:hAnsi="Arial" w:cs="Arial"/>
          <w:color w:val="000000"/>
          <w:sz w:val="20"/>
          <w:szCs w:val="20"/>
          <w:lang w:val="sr-Cyrl-CS"/>
        </w:rPr>
        <w:t xml:space="preserve"> (</w:t>
      </w:r>
      <w:r w:rsidR="00440294">
        <w:rPr>
          <w:rFonts w:ascii="Arial" w:eastAsia="Times New Roman" w:hAnsi="Arial" w:cs="Arial"/>
          <w:color w:val="000000"/>
          <w:sz w:val="20"/>
          <w:szCs w:val="20"/>
        </w:rPr>
        <w:t>3.6</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Austria (2.</w:t>
      </w:r>
      <w:r w:rsidR="00440294">
        <w:rPr>
          <w:rFonts w:ascii="Arial" w:eastAsia="Times New Roman" w:hAnsi="Arial" w:cs="Arial"/>
          <w:color w:val="000000"/>
          <w:sz w:val="20"/>
          <w:szCs w:val="20"/>
        </w:rPr>
        <w:t>6</w:t>
      </w:r>
      <w:r w:rsidRPr="001B30DF">
        <w:rPr>
          <w:rFonts w:ascii="Arial" w:eastAsia="Times New Roman" w:hAnsi="Arial" w:cs="Arial"/>
          <w:color w:val="000000"/>
          <w:sz w:val="20"/>
          <w:szCs w:val="20"/>
        </w:rPr>
        <w:t>%)</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then Italy,</w:t>
      </w:r>
      <w:r w:rsidR="00440294">
        <w:rPr>
          <w:rFonts w:ascii="Arial" w:eastAsia="Times New Roman" w:hAnsi="Arial" w:cs="Arial"/>
          <w:color w:val="000000"/>
          <w:sz w:val="20"/>
          <w:szCs w:val="20"/>
        </w:rPr>
        <w:t xml:space="preserve"> France, Croatia, </w:t>
      </w:r>
      <w:r w:rsidRPr="001B30DF">
        <w:rPr>
          <w:rFonts w:ascii="Arial" w:eastAsia="Times New Roman" w:hAnsi="Arial" w:cs="Arial"/>
          <w:color w:val="000000"/>
          <w:sz w:val="20"/>
          <w:szCs w:val="20"/>
        </w:rPr>
        <w:t>Slovenia</w:t>
      </w:r>
      <w:r w:rsidR="00440294">
        <w:rPr>
          <w:rFonts w:ascii="Arial" w:eastAsia="Times New Roman" w:hAnsi="Arial" w:cs="Arial"/>
          <w:color w:val="000000"/>
          <w:sz w:val="20"/>
          <w:szCs w:val="20"/>
        </w:rPr>
        <w:t xml:space="preserve"> and USA. </w:t>
      </w:r>
      <w:r w:rsidRPr="001B30DF">
        <w:rPr>
          <w:rFonts w:ascii="Arial" w:eastAsia="Times New Roman" w:hAnsi="Arial" w:cs="Arial"/>
          <w:color w:val="000000"/>
          <w:sz w:val="20"/>
          <w:szCs w:val="20"/>
        </w:rPr>
        <w:t xml:space="preserve">Affiliates in these countries engaged </w:t>
      </w:r>
      <w:r w:rsidRPr="001B30DF">
        <w:rPr>
          <w:rFonts w:ascii="Arial" w:eastAsia="Times New Roman" w:hAnsi="Arial" w:cs="Arial"/>
          <w:b/>
          <w:color w:val="000000"/>
          <w:sz w:val="20"/>
          <w:szCs w:val="20"/>
        </w:rPr>
        <w:t>1</w:t>
      </w:r>
      <w:r w:rsidR="00401F44">
        <w:rPr>
          <w:rFonts w:ascii="Arial" w:eastAsia="Times New Roman" w:hAnsi="Arial" w:cs="Arial"/>
          <w:b/>
          <w:color w:val="000000"/>
          <w:sz w:val="20"/>
          <w:szCs w:val="20"/>
        </w:rPr>
        <w:t>2</w:t>
      </w:r>
      <w:r w:rsidRPr="001B30DF">
        <w:rPr>
          <w:rFonts w:ascii="Arial" w:eastAsia="Times New Roman" w:hAnsi="Arial" w:cs="Arial"/>
          <w:b/>
          <w:color w:val="000000"/>
          <w:sz w:val="20"/>
          <w:szCs w:val="20"/>
        </w:rPr>
        <w:t>.</w:t>
      </w:r>
      <w:r w:rsidR="00302D22">
        <w:rPr>
          <w:rFonts w:ascii="Arial" w:eastAsia="Times New Roman" w:hAnsi="Arial" w:cs="Arial"/>
          <w:b/>
          <w:color w:val="000000"/>
          <w:sz w:val="20"/>
          <w:szCs w:val="20"/>
        </w:rPr>
        <w:t>5</w:t>
      </w:r>
      <w:r w:rsidRPr="001B30DF">
        <w:rPr>
          <w:rFonts w:ascii="Arial" w:eastAsia="Times New Roman" w:hAnsi="Arial" w:cs="Arial"/>
          <w:b/>
          <w:color w:val="000000"/>
          <w:sz w:val="20"/>
          <w:szCs w:val="20"/>
        </w:rPr>
        <w:t xml:space="preserve">% of the total number of persons employed </w:t>
      </w:r>
      <w:r w:rsidRPr="001B30DF">
        <w:rPr>
          <w:rFonts w:ascii="Arial" w:eastAsia="Times New Roman" w:hAnsi="Arial" w:cs="Arial"/>
          <w:color w:val="000000"/>
          <w:sz w:val="20"/>
          <w:szCs w:val="20"/>
        </w:rPr>
        <w:t>in SBS coverage.</w:t>
      </w:r>
    </w:p>
    <w:p w:rsidR="0038257B" w:rsidRPr="0038257B" w:rsidRDefault="0038257B" w:rsidP="0038257B">
      <w:pPr>
        <w:autoSpaceDE w:val="0"/>
        <w:autoSpaceDN w:val="0"/>
        <w:adjustRightInd w:val="0"/>
        <w:spacing w:before="120" w:after="0" w:line="264" w:lineRule="auto"/>
        <w:ind w:left="714"/>
        <w:jc w:val="both"/>
        <w:rPr>
          <w:rFonts w:ascii="Arial" w:eastAsia="Times New Roman" w:hAnsi="Arial" w:cs="Arial"/>
          <w:color w:val="000000"/>
          <w:sz w:val="20"/>
          <w:szCs w:val="20"/>
          <w:lang w:val="sr-Latn-RS"/>
        </w:rPr>
      </w:pPr>
      <w:r>
        <w:rPr>
          <w:rFonts w:ascii="Arial" w:eastAsia="Times New Roman" w:hAnsi="Arial" w:cs="Arial"/>
          <w:color w:val="000000"/>
          <w:sz w:val="20"/>
          <w:szCs w:val="20"/>
          <w:lang w:val="sr-Latn-RS"/>
        </w:rPr>
        <w:t xml:space="preserve">                                                                   </w:t>
      </w:r>
      <w:r>
        <w:rPr>
          <w:noProof/>
        </w:rPr>
        <w:drawing>
          <wp:inline distT="0" distB="0" distL="0" distR="0" wp14:anchorId="6730C287" wp14:editId="036B8B88">
            <wp:extent cx="5686425" cy="2472055"/>
            <wp:effectExtent l="0" t="0" r="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38257B" w:rsidRPr="0038257B" w:rsidSect="00F27A5F">
      <w:pgSz w:w="12240" w:h="15840"/>
      <w:pgMar w:top="562" w:right="1008" w:bottom="56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C1EBA"/>
    <w:multiLevelType w:val="hybridMultilevel"/>
    <w:tmpl w:val="6DEC5B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DF"/>
    <w:rsid w:val="00037244"/>
    <w:rsid w:val="00043500"/>
    <w:rsid w:val="0012287A"/>
    <w:rsid w:val="00127308"/>
    <w:rsid w:val="00132016"/>
    <w:rsid w:val="0017341E"/>
    <w:rsid w:val="001B30DF"/>
    <w:rsid w:val="001E4DB9"/>
    <w:rsid w:val="0023018B"/>
    <w:rsid w:val="00302D22"/>
    <w:rsid w:val="00352810"/>
    <w:rsid w:val="0038257B"/>
    <w:rsid w:val="00401F44"/>
    <w:rsid w:val="00440294"/>
    <w:rsid w:val="00485948"/>
    <w:rsid w:val="00543234"/>
    <w:rsid w:val="005A14AE"/>
    <w:rsid w:val="0060456A"/>
    <w:rsid w:val="006446AA"/>
    <w:rsid w:val="00662D18"/>
    <w:rsid w:val="00AB1D8F"/>
    <w:rsid w:val="00BA059C"/>
    <w:rsid w:val="00C9112A"/>
    <w:rsid w:val="00EB5049"/>
    <w:rsid w:val="00F050D2"/>
    <w:rsid w:val="00F27A5F"/>
    <w:rsid w:val="00F4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67593E0-AFFF-48DB-A750-BBFBE6CE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1Char">
    <w:name w:val="Char Char Char Char Char1 Char"/>
    <w:basedOn w:val="Normal"/>
    <w:rsid w:val="001B30D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alloonText">
    <w:name w:val="Balloon Text"/>
    <w:basedOn w:val="Normal"/>
    <w:link w:val="BalloonTextChar"/>
    <w:uiPriority w:val="99"/>
    <w:semiHidden/>
    <w:unhideWhenUsed/>
    <w:rsid w:val="001B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latin typeface="Arial" panose="020B0604020202020204" pitchFamily="34" charset="0"/>
              </a:defRPr>
            </a:pPr>
            <a:r>
              <a:rPr lang="en-US" sz="1000" baseline="0">
                <a:latin typeface="Arial" panose="020B0604020202020204" pitchFamily="34" charset="0"/>
              </a:rPr>
              <a:t>CA sections with significant share of foreign affiliates in the sections value added, Republic of </a:t>
            </a:r>
            <a:r>
              <a:rPr lang="sr-Latn-RS" sz="1000" baseline="0">
                <a:latin typeface="Arial" panose="020B0604020202020204" pitchFamily="34" charset="0"/>
              </a:rPr>
              <a:t>S</a:t>
            </a:r>
            <a:r>
              <a:rPr lang="en-US" sz="1000" baseline="0">
                <a:latin typeface="Arial" panose="020B0604020202020204" pitchFamily="34" charset="0"/>
              </a:rPr>
              <a:t>erbia, 2015</a:t>
            </a:r>
          </a:p>
        </c:rich>
      </c:tx>
      <c:layout>
        <c:manualLayout>
          <c:xMode val="edge"/>
          <c:yMode val="edge"/>
          <c:x val="0.21528605187537075"/>
          <c:y val="7.0823710546574284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42211787974095305"/>
          <c:y val="0.23402609885031977"/>
          <c:w val="0.52077312573888612"/>
          <c:h val="0.61467415880174325"/>
        </c:manualLayout>
      </c:layout>
      <c:bar3DChart>
        <c:barDir val="bar"/>
        <c:grouping val="percentStacked"/>
        <c:varyColors val="0"/>
        <c:ser>
          <c:idx val="0"/>
          <c:order val="0"/>
          <c:tx>
            <c:v>Foreign affiliates</c:v>
          </c:tx>
          <c:spPr>
            <a:solidFill>
              <a:srgbClr val="993366"/>
            </a:solidFill>
            <a:ln>
              <a:solidFill>
                <a:schemeClr val="tx1"/>
              </a:solidFill>
            </a:ln>
          </c:spPr>
          <c:invertIfNegative val="0"/>
          <c:cat>
            <c:strRef>
              <c:f>'engleski grafici'!$A$8:$A$16</c:f>
              <c:strCache>
                <c:ptCount val="9"/>
                <c:pt idx="0">
                  <c:v>Construction</c:v>
                </c:pt>
                <c:pt idx="1">
                  <c:v>Mining and quarrying</c:v>
                </c:pt>
                <c:pt idx="2">
                  <c:v>Accommodation and food service activities</c:v>
                </c:pt>
                <c:pt idx="3">
                  <c:v>Real estate activities</c:v>
                </c:pt>
                <c:pt idx="4">
                  <c:v>Professional, scientific and technical activities</c:v>
                </c:pt>
                <c:pt idx="5">
                  <c:v>Wholesale and retail trade; repair of motor vehicles and motorcycles</c:v>
                </c:pt>
                <c:pt idx="6">
                  <c:v>Administrative and support service activities</c:v>
                </c:pt>
                <c:pt idx="7">
                  <c:v>Information and communication</c:v>
                </c:pt>
                <c:pt idx="8">
                  <c:v>Manufacturing</c:v>
                </c:pt>
              </c:strCache>
            </c:strRef>
          </c:cat>
          <c:val>
            <c:numRef>
              <c:f>'engleski grafici'!$B$8:$B$16</c:f>
              <c:numCache>
                <c:formatCode>General</c:formatCode>
                <c:ptCount val="9"/>
                <c:pt idx="0">
                  <c:v>0.11990208734297775</c:v>
                </c:pt>
                <c:pt idx="1">
                  <c:v>0.12335583645034019</c:v>
                </c:pt>
                <c:pt idx="2">
                  <c:v>0.21528737405888909</c:v>
                </c:pt>
                <c:pt idx="3">
                  <c:v>0.2925170921823409</c:v>
                </c:pt>
                <c:pt idx="4">
                  <c:v>0.30223051540288381</c:v>
                </c:pt>
                <c:pt idx="5">
                  <c:v>0.32475435740034297</c:v>
                </c:pt>
                <c:pt idx="6">
                  <c:v>0.40451048853049165</c:v>
                </c:pt>
                <c:pt idx="7">
                  <c:v>0.44974091642907399</c:v>
                </c:pt>
                <c:pt idx="8">
                  <c:v>0.53224567304517967</c:v>
                </c:pt>
              </c:numCache>
            </c:numRef>
          </c:val>
          <c:extLst>
            <c:ext xmlns:c16="http://schemas.microsoft.com/office/drawing/2014/chart" uri="{C3380CC4-5D6E-409C-BE32-E72D297353CC}">
              <c16:uniqueId val="{00000000-2455-44F6-B244-A2EA80279165}"/>
            </c:ext>
          </c:extLst>
        </c:ser>
        <c:ser>
          <c:idx val="1"/>
          <c:order val="1"/>
          <c:tx>
            <c:v>Domestic enterprises</c:v>
          </c:tx>
          <c:spPr>
            <a:solidFill>
              <a:srgbClr val="FFFF99"/>
            </a:solidFill>
            <a:ln>
              <a:solidFill>
                <a:schemeClr val="tx1"/>
              </a:solidFill>
            </a:ln>
          </c:spPr>
          <c:invertIfNegative val="0"/>
          <c:cat>
            <c:strRef>
              <c:f>'engleski grafici'!$A$8:$A$16</c:f>
              <c:strCache>
                <c:ptCount val="9"/>
                <c:pt idx="0">
                  <c:v>Construction</c:v>
                </c:pt>
                <c:pt idx="1">
                  <c:v>Mining and quarrying</c:v>
                </c:pt>
                <c:pt idx="2">
                  <c:v>Accommodation and food service activities</c:v>
                </c:pt>
                <c:pt idx="3">
                  <c:v>Real estate activities</c:v>
                </c:pt>
                <c:pt idx="4">
                  <c:v>Professional, scientific and technical activities</c:v>
                </c:pt>
                <c:pt idx="5">
                  <c:v>Wholesale and retail trade; repair of motor vehicles and motorcycles</c:v>
                </c:pt>
                <c:pt idx="6">
                  <c:v>Administrative and support service activities</c:v>
                </c:pt>
                <c:pt idx="7">
                  <c:v>Information and communication</c:v>
                </c:pt>
                <c:pt idx="8">
                  <c:v>Manufacturing</c:v>
                </c:pt>
              </c:strCache>
            </c:strRef>
          </c:cat>
          <c:val>
            <c:numRef>
              <c:f>'engleski grafici'!$C$8:$C$16</c:f>
              <c:numCache>
                <c:formatCode>General</c:formatCode>
                <c:ptCount val="9"/>
                <c:pt idx="0">
                  <c:v>0.88009791265702231</c:v>
                </c:pt>
                <c:pt idx="1">
                  <c:v>0.87664416354965979</c:v>
                </c:pt>
                <c:pt idx="2">
                  <c:v>0.78471262594111091</c:v>
                </c:pt>
                <c:pt idx="3">
                  <c:v>0.7074829078176591</c:v>
                </c:pt>
                <c:pt idx="4">
                  <c:v>0.69776948459711619</c:v>
                </c:pt>
                <c:pt idx="5">
                  <c:v>0.67524564259965703</c:v>
                </c:pt>
                <c:pt idx="6">
                  <c:v>0.59548951146950835</c:v>
                </c:pt>
                <c:pt idx="7">
                  <c:v>0.55025908357092601</c:v>
                </c:pt>
                <c:pt idx="8">
                  <c:v>0.46775432695482033</c:v>
                </c:pt>
              </c:numCache>
            </c:numRef>
          </c:val>
          <c:extLst>
            <c:ext xmlns:c16="http://schemas.microsoft.com/office/drawing/2014/chart" uri="{C3380CC4-5D6E-409C-BE32-E72D297353CC}">
              <c16:uniqueId val="{00000001-2455-44F6-B244-A2EA80279165}"/>
            </c:ext>
          </c:extLst>
        </c:ser>
        <c:dLbls>
          <c:showLegendKey val="0"/>
          <c:showVal val="0"/>
          <c:showCatName val="0"/>
          <c:showSerName val="0"/>
          <c:showPercent val="0"/>
          <c:showBubbleSize val="0"/>
        </c:dLbls>
        <c:gapWidth val="150"/>
        <c:shape val="box"/>
        <c:axId val="76708480"/>
        <c:axId val="76714368"/>
        <c:axId val="0"/>
      </c:bar3DChart>
      <c:catAx>
        <c:axId val="76708480"/>
        <c:scaling>
          <c:orientation val="minMax"/>
        </c:scaling>
        <c:delete val="0"/>
        <c:axPos val="l"/>
        <c:numFmt formatCode="General" sourceLinked="0"/>
        <c:majorTickMark val="out"/>
        <c:minorTickMark val="none"/>
        <c:tickLblPos val="nextTo"/>
        <c:txPr>
          <a:bodyPr/>
          <a:lstStyle/>
          <a:p>
            <a:pPr>
              <a:defRPr sz="1000" baseline="0">
                <a:latin typeface="Arial" panose="020B0604020202020204" pitchFamily="34" charset="0"/>
              </a:defRPr>
            </a:pPr>
            <a:endParaRPr lang="en-US"/>
          </a:p>
        </c:txPr>
        <c:crossAx val="76714368"/>
        <c:crosses val="autoZero"/>
        <c:auto val="1"/>
        <c:lblAlgn val="ctr"/>
        <c:lblOffset val="100"/>
        <c:noMultiLvlLbl val="0"/>
      </c:catAx>
      <c:valAx>
        <c:axId val="76714368"/>
        <c:scaling>
          <c:orientation val="minMax"/>
        </c:scaling>
        <c:delete val="0"/>
        <c:axPos val="b"/>
        <c:numFmt formatCode="0%" sourceLinked="1"/>
        <c:majorTickMark val="out"/>
        <c:minorTickMark val="none"/>
        <c:tickLblPos val="nextTo"/>
        <c:crossAx val="76708480"/>
        <c:crosses val="autoZero"/>
        <c:crossBetween val="between"/>
      </c:valAx>
    </c:plotArea>
    <c:legend>
      <c:legendPos val="b"/>
      <c:layout>
        <c:manualLayout>
          <c:xMode val="edge"/>
          <c:yMode val="edge"/>
          <c:x val="0.44961774515027725"/>
          <c:y val="0.92276239142162653"/>
          <c:w val="0.40515824995559768"/>
          <c:h val="5.2542658495632617E-2"/>
        </c:manualLayout>
      </c:layout>
      <c:overlay val="0"/>
      <c:txPr>
        <a:bodyPr/>
        <a:lstStyle/>
        <a:p>
          <a:pPr>
            <a:defRPr baseline="0">
              <a:latin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latin typeface="Arial" panose="020B0604020202020204" pitchFamily="34" charset="0"/>
              </a:defRPr>
            </a:pPr>
            <a:r>
              <a:rPr lang="en-US" sz="1000" baseline="0">
                <a:latin typeface="Arial" panose="020B0604020202020204" pitchFamily="34" charset="0"/>
              </a:rPr>
              <a:t>Countries with the largest share in total number and value added of foreign affiliates, Republic of Serbia, 2015</a:t>
            </a:r>
          </a:p>
        </c:rich>
      </c:tx>
      <c:overlay val="1"/>
    </c:title>
    <c:autoTitleDeleted val="0"/>
    <c:view3D>
      <c:rotX val="15"/>
      <c:rotY val="20"/>
      <c:rAngAx val="1"/>
    </c:view3D>
    <c:floor>
      <c:thickness val="0"/>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14489499781022122"/>
          <c:y val="0.20594765417905145"/>
          <c:w val="0.82454108055629571"/>
          <c:h val="0.61958426309407411"/>
        </c:manualLayout>
      </c:layout>
      <c:bar3DChart>
        <c:barDir val="bar"/>
        <c:grouping val="clustered"/>
        <c:varyColors val="0"/>
        <c:ser>
          <c:idx val="0"/>
          <c:order val="0"/>
          <c:tx>
            <c:v>Number of affiliates</c:v>
          </c:tx>
          <c:spPr>
            <a:solidFill>
              <a:srgbClr val="FFFF99"/>
            </a:solidFill>
            <a:ln>
              <a:solidFill>
                <a:schemeClr val="tx1"/>
              </a:solidFill>
            </a:ln>
          </c:spPr>
          <c:invertIfNegative val="0"/>
          <c:cat>
            <c:strRef>
              <c:f>'engleski grafici'!$A$50:$A$58</c:f>
              <c:strCache>
                <c:ptCount val="9"/>
                <c:pt idx="0">
                  <c:v>USA</c:v>
                </c:pt>
                <c:pt idx="1">
                  <c:v>Slovenia</c:v>
                </c:pt>
                <c:pt idx="2">
                  <c:v>Croatia</c:v>
                </c:pt>
                <c:pt idx="3">
                  <c:v>France</c:v>
                </c:pt>
                <c:pt idx="4">
                  <c:v>Italy</c:v>
                </c:pt>
                <c:pt idx="5">
                  <c:v>Austria</c:v>
                </c:pt>
                <c:pt idx="6">
                  <c:v>Netherlands</c:v>
                </c:pt>
                <c:pt idx="7">
                  <c:v>Germany</c:v>
                </c:pt>
                <c:pt idx="8">
                  <c:v>Russian Federation</c:v>
                </c:pt>
              </c:strCache>
            </c:strRef>
          </c:cat>
          <c:val>
            <c:numRef>
              <c:f>'engleski grafici'!$B$50:$B$58</c:f>
              <c:numCache>
                <c:formatCode>General</c:formatCode>
                <c:ptCount val="9"/>
                <c:pt idx="0">
                  <c:v>2.8680688336520075E-2</c:v>
                </c:pt>
                <c:pt idx="1">
                  <c:v>0.10822179732313575</c:v>
                </c:pt>
                <c:pt idx="2">
                  <c:v>8.4894837476099425E-2</c:v>
                </c:pt>
                <c:pt idx="3">
                  <c:v>2.7151051625239005E-2</c:v>
                </c:pt>
                <c:pt idx="4">
                  <c:v>7.7246653919694069E-2</c:v>
                </c:pt>
                <c:pt idx="5">
                  <c:v>8.948374760994264E-2</c:v>
                </c:pt>
                <c:pt idx="6">
                  <c:v>5.2390057361376675E-2</c:v>
                </c:pt>
                <c:pt idx="7">
                  <c:v>7.3804971319311657E-2</c:v>
                </c:pt>
                <c:pt idx="8">
                  <c:v>2.1414913957934989E-2</c:v>
                </c:pt>
              </c:numCache>
            </c:numRef>
          </c:val>
          <c:extLst>
            <c:ext xmlns:c16="http://schemas.microsoft.com/office/drawing/2014/chart" uri="{C3380CC4-5D6E-409C-BE32-E72D297353CC}">
              <c16:uniqueId val="{00000000-C294-420D-9125-2664FFAFADDC}"/>
            </c:ext>
          </c:extLst>
        </c:ser>
        <c:ser>
          <c:idx val="1"/>
          <c:order val="1"/>
          <c:tx>
            <c:v>Value added</c:v>
          </c:tx>
          <c:spPr>
            <a:solidFill>
              <a:srgbClr val="993366"/>
            </a:solidFill>
            <a:ln>
              <a:solidFill>
                <a:schemeClr val="tx1"/>
              </a:solidFill>
            </a:ln>
          </c:spPr>
          <c:invertIfNegative val="0"/>
          <c:cat>
            <c:strRef>
              <c:f>'engleski grafici'!$A$50:$A$58</c:f>
              <c:strCache>
                <c:ptCount val="9"/>
                <c:pt idx="0">
                  <c:v>USA</c:v>
                </c:pt>
                <c:pt idx="1">
                  <c:v>Slovenia</c:v>
                </c:pt>
                <c:pt idx="2">
                  <c:v>Croatia</c:v>
                </c:pt>
                <c:pt idx="3">
                  <c:v>France</c:v>
                </c:pt>
                <c:pt idx="4">
                  <c:v>Italy</c:v>
                </c:pt>
                <c:pt idx="5">
                  <c:v>Austria</c:v>
                </c:pt>
                <c:pt idx="6">
                  <c:v>Netherlands</c:v>
                </c:pt>
                <c:pt idx="7">
                  <c:v>Germany</c:v>
                </c:pt>
                <c:pt idx="8">
                  <c:v>Russian Federation</c:v>
                </c:pt>
              </c:strCache>
            </c:strRef>
          </c:cat>
          <c:val>
            <c:numRef>
              <c:f>'engleski grafici'!$C$50:$C$58</c:f>
              <c:numCache>
                <c:formatCode>General</c:formatCode>
                <c:ptCount val="9"/>
                <c:pt idx="0">
                  <c:v>4.5405305822095968E-2</c:v>
                </c:pt>
                <c:pt idx="1">
                  <c:v>4.7765890102927866E-2</c:v>
                </c:pt>
                <c:pt idx="2">
                  <c:v>5.2957376839635327E-2</c:v>
                </c:pt>
                <c:pt idx="3">
                  <c:v>5.8344515379313483E-2</c:v>
                </c:pt>
                <c:pt idx="4">
                  <c:v>7.679557630585597E-2</c:v>
                </c:pt>
                <c:pt idx="5">
                  <c:v>8.0651693078526154E-2</c:v>
                </c:pt>
                <c:pt idx="6">
                  <c:v>0.10998700995659333</c:v>
                </c:pt>
                <c:pt idx="7">
                  <c:v>0.11152867040228713</c:v>
                </c:pt>
                <c:pt idx="8">
                  <c:v>0.12755501909057651</c:v>
                </c:pt>
              </c:numCache>
            </c:numRef>
          </c:val>
          <c:extLst>
            <c:ext xmlns:c16="http://schemas.microsoft.com/office/drawing/2014/chart" uri="{C3380CC4-5D6E-409C-BE32-E72D297353CC}">
              <c16:uniqueId val="{00000001-C294-420D-9125-2664FFAFADDC}"/>
            </c:ext>
          </c:extLst>
        </c:ser>
        <c:dLbls>
          <c:showLegendKey val="0"/>
          <c:showVal val="0"/>
          <c:showCatName val="0"/>
          <c:showSerName val="0"/>
          <c:showPercent val="0"/>
          <c:showBubbleSize val="0"/>
        </c:dLbls>
        <c:gapWidth val="150"/>
        <c:shape val="box"/>
        <c:axId val="76739712"/>
        <c:axId val="76741248"/>
        <c:axId val="0"/>
      </c:bar3DChart>
      <c:catAx>
        <c:axId val="76739712"/>
        <c:scaling>
          <c:orientation val="minMax"/>
        </c:scaling>
        <c:delete val="0"/>
        <c:axPos val="l"/>
        <c:numFmt formatCode="General" sourceLinked="0"/>
        <c:majorTickMark val="out"/>
        <c:minorTickMark val="none"/>
        <c:tickLblPos val="nextTo"/>
        <c:txPr>
          <a:bodyPr/>
          <a:lstStyle/>
          <a:p>
            <a:pPr>
              <a:defRPr baseline="0">
                <a:latin typeface="Arial" panose="020B0604020202020204" pitchFamily="34" charset="0"/>
              </a:defRPr>
            </a:pPr>
            <a:endParaRPr lang="en-US"/>
          </a:p>
        </c:txPr>
        <c:crossAx val="76741248"/>
        <c:crosses val="autoZero"/>
        <c:auto val="1"/>
        <c:lblAlgn val="ctr"/>
        <c:lblOffset val="100"/>
        <c:noMultiLvlLbl val="0"/>
      </c:catAx>
      <c:valAx>
        <c:axId val="76741248"/>
        <c:scaling>
          <c:orientation val="minMax"/>
        </c:scaling>
        <c:delete val="0"/>
        <c:axPos val="b"/>
        <c:numFmt formatCode="0%" sourceLinked="0"/>
        <c:majorTickMark val="out"/>
        <c:minorTickMark val="none"/>
        <c:tickLblPos val="nextTo"/>
        <c:crossAx val="76739712"/>
        <c:crosses val="autoZero"/>
        <c:crossBetween val="between"/>
        <c:majorUnit val="2.0000000000000004E-2"/>
      </c:valAx>
    </c:plotArea>
    <c:legend>
      <c:legendPos val="b"/>
      <c:layout>
        <c:manualLayout>
          <c:xMode val="edge"/>
          <c:yMode val="edge"/>
          <c:x val="0.30247246732349409"/>
          <c:y val="0.90720149834854003"/>
          <c:w val="0.43525607037813741"/>
          <c:h val="8.7661075501960922E-2"/>
        </c:manualLayout>
      </c:layout>
      <c:overlay val="0"/>
      <c:txPr>
        <a:bodyPr/>
        <a:lstStyle/>
        <a:p>
          <a:pPr>
            <a:defRPr baseline="0">
              <a:latin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D7FB-E297-4290-978B-403D6980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Mamula</dc:creator>
  <cp:lastModifiedBy>Aleksandra Danilovic</cp:lastModifiedBy>
  <cp:revision>2</cp:revision>
  <dcterms:created xsi:type="dcterms:W3CDTF">2018-03-28T12:53:00Z</dcterms:created>
  <dcterms:modified xsi:type="dcterms:W3CDTF">2018-03-28T12:53:00Z</dcterms:modified>
</cp:coreProperties>
</file>