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196542" w:rsidRPr="00EA585C">
        <w:trPr>
          <w:trHeight w:val="10785"/>
        </w:trPr>
        <w:tc>
          <w:tcPr>
            <w:tcW w:w="10386" w:type="dxa"/>
          </w:tcPr>
          <w:p w:rsidR="00196542" w:rsidRPr="00EA585C" w:rsidRDefault="00196542" w:rsidP="003308F7">
            <w:pPr>
              <w:jc w:val="right"/>
              <w:rPr>
                <w:rFonts w:ascii="Tahoma" w:hAnsi="Tahoma" w:cs="Tahoma"/>
              </w:rPr>
            </w:pPr>
            <w:r w:rsidRPr="00EA585C">
              <w:rPr>
                <w:rFonts w:ascii="Tahoma" w:hAnsi="Tahoma" w:cs="Tahoma"/>
                <w:sz w:val="22"/>
                <w:szCs w:val="22"/>
              </w:rPr>
              <w:t>15.</w:t>
            </w:r>
            <w:r w:rsidR="00A9271C">
              <w:rPr>
                <w:rFonts w:ascii="Tahoma" w:hAnsi="Tahoma" w:cs="Tahoma"/>
                <w:sz w:val="22"/>
                <w:szCs w:val="22"/>
              </w:rPr>
              <w:t>0</w:t>
            </w:r>
            <w:r w:rsidR="00C21B48">
              <w:rPr>
                <w:rFonts w:ascii="Tahoma" w:hAnsi="Tahoma" w:cs="Tahoma"/>
                <w:sz w:val="22"/>
                <w:szCs w:val="22"/>
              </w:rPr>
              <w:t>6</w:t>
            </w:r>
            <w:r w:rsidRPr="00EA585C">
              <w:rPr>
                <w:rFonts w:ascii="Tahoma" w:hAnsi="Tahoma" w:cs="Tahoma"/>
                <w:sz w:val="22"/>
                <w:szCs w:val="22"/>
              </w:rPr>
              <w:t>.201</w:t>
            </w:r>
            <w:r w:rsidR="00A9271C">
              <w:rPr>
                <w:rFonts w:ascii="Tahoma" w:hAnsi="Tahoma" w:cs="Tahoma"/>
                <w:sz w:val="22"/>
                <w:szCs w:val="22"/>
              </w:rPr>
              <w:t>7</w:t>
            </w:r>
          </w:p>
          <w:tbl>
            <w:tblPr>
              <w:tblW w:w="0" w:type="auto"/>
              <w:tblInd w:w="3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53"/>
            </w:tblGrid>
            <w:tr w:rsidR="00196542" w:rsidRPr="00EA585C" w:rsidTr="00126B86">
              <w:trPr>
                <w:trHeight w:val="530"/>
              </w:trPr>
              <w:tc>
                <w:tcPr>
                  <w:tcW w:w="10153" w:type="dxa"/>
                </w:tcPr>
                <w:p w:rsidR="00196542" w:rsidRPr="004D29EC" w:rsidRDefault="00196542" w:rsidP="003308F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96542" w:rsidRPr="00C21B48" w:rsidRDefault="001D1E91" w:rsidP="00C21B4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Income in money and in kind </w:t>
                  </w:r>
                  <w:r w:rsidR="00196542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and individual consumption of households</w:t>
                  </w:r>
                  <w:r w:rsidR="00C21B48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</w:t>
                  </w:r>
                  <w:r w:rsidR="00A8108C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21B48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1</w:t>
                  </w:r>
                  <w:r w:rsidR="00C21B48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vertAlign w:val="superscript"/>
                    </w:rPr>
                    <w:t>st</w:t>
                  </w:r>
                  <w:r w:rsidR="0038391D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quarter </w:t>
                  </w:r>
                  <w:r w:rsidR="00C21B48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2</w:t>
                  </w:r>
                  <w:r w:rsidR="0038391D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01</w:t>
                  </w:r>
                  <w:r w:rsidR="00C21B48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7</w:t>
                  </w:r>
                  <w:r w:rsidR="00A8108C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 preliminary data</w:t>
                  </w:r>
                </w:p>
              </w:tc>
            </w:tr>
          </w:tbl>
          <w:p w:rsidR="00196542" w:rsidRDefault="00196542" w:rsidP="003308F7">
            <w:pPr>
              <w:jc w:val="both"/>
              <w:rPr>
                <w:rFonts w:ascii="Tahoma" w:hAnsi="Tahoma" w:cs="Tahoma"/>
              </w:rPr>
            </w:pPr>
          </w:p>
          <w:p w:rsidR="00EC6DB4" w:rsidRPr="00EA585C" w:rsidRDefault="00EC6DB4" w:rsidP="003308F7">
            <w:pPr>
              <w:jc w:val="both"/>
              <w:rPr>
                <w:rFonts w:ascii="Tahoma" w:hAnsi="Tahoma" w:cs="Tahoma"/>
              </w:rPr>
            </w:pPr>
          </w:p>
          <w:p w:rsidR="00196542" w:rsidRPr="00EA585C" w:rsidRDefault="00196542" w:rsidP="001F6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Household budget survey collects the data on income and household consumption, i.e. the data on basic elements of individual consumption. </w:t>
            </w:r>
          </w:p>
          <w:p w:rsidR="00196542" w:rsidRPr="00EA585C" w:rsidRDefault="00196542" w:rsidP="001F6BE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196542" w:rsidP="007C039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21B48" w:rsidRDefault="00C21B48" w:rsidP="00C62D20">
            <w:pPr>
              <w:jc w:val="center"/>
              <w:rPr>
                <w:rFonts w:ascii="Tahoma" w:hAnsi="Tahoma" w:cs="Tahoma"/>
                <w:b/>
                <w:sz w:val="19"/>
                <w:szCs w:val="19"/>
                <w:lang w:val="sr-Cyrl-CS"/>
              </w:rPr>
            </w:pPr>
            <w:r w:rsidRPr="000C0325">
              <w:rPr>
                <w:rFonts w:ascii="Tahoma" w:hAnsi="Tahoma" w:cs="Tahoma"/>
                <w:b/>
                <w:sz w:val="19"/>
                <w:szCs w:val="19"/>
                <w:lang w:val="sr-Cyrl-CS"/>
              </w:rPr>
              <w:t>Comparative review of income in money and in kind and individual consumption of households</w:t>
            </w:r>
          </w:p>
          <w:p w:rsidR="00196542" w:rsidRPr="00EA585C" w:rsidRDefault="00196542" w:rsidP="007C03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DB3A52">
              <w:rPr>
                <w:rFonts w:ascii="Tahoma" w:hAnsi="Tahoma" w:cs="Tahoma"/>
                <w:sz w:val="18"/>
                <w:szCs w:val="18"/>
              </w:rPr>
              <w:t xml:space="preserve">                            RSD</w:t>
            </w:r>
            <w:r w:rsidR="00A10200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  <w:r w:rsidR="00903BB1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A1020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B3A52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94"/>
              <w:gridCol w:w="1276"/>
              <w:gridCol w:w="1275"/>
              <w:gridCol w:w="1275"/>
              <w:gridCol w:w="1275"/>
              <w:gridCol w:w="1275"/>
            </w:tblGrid>
            <w:tr w:rsidR="00C21B48" w:rsidRPr="00284551" w:rsidTr="00C21B48">
              <w:trPr>
                <w:trHeight w:val="340"/>
              </w:trPr>
              <w:tc>
                <w:tcPr>
                  <w:tcW w:w="1865" w:type="pct"/>
                  <w:tcBorders>
                    <w:bottom w:val="nil"/>
                  </w:tcBorders>
                  <w:vAlign w:val="center"/>
                </w:tcPr>
                <w:p w:rsidR="00C21B48" w:rsidRPr="00A9271C" w:rsidRDefault="00C21B48" w:rsidP="00625ED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507" w:type="pct"/>
                  <w:gridSpan w:val="4"/>
                  <w:vAlign w:val="center"/>
                </w:tcPr>
                <w:p w:rsidR="00C21B48" w:rsidRPr="00A9271C" w:rsidRDefault="00C21B48" w:rsidP="0038391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2016</w:t>
                  </w:r>
                </w:p>
              </w:tc>
              <w:tc>
                <w:tcPr>
                  <w:tcW w:w="627" w:type="pct"/>
                  <w:vAlign w:val="center"/>
                </w:tcPr>
                <w:p w:rsidR="00C21B48" w:rsidRPr="00A9271C" w:rsidRDefault="00C21B48" w:rsidP="00C21B4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7</w:t>
                  </w:r>
                </w:p>
              </w:tc>
            </w:tr>
            <w:tr w:rsidR="00C21B48" w:rsidRPr="00284551" w:rsidTr="00C21B48">
              <w:trPr>
                <w:trHeight w:val="609"/>
              </w:trPr>
              <w:tc>
                <w:tcPr>
                  <w:tcW w:w="1865" w:type="pct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C21B48" w:rsidRPr="00A9271C" w:rsidRDefault="00C21B48" w:rsidP="00A9271C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627" w:type="pct"/>
                  <w:tcBorders>
                    <w:bottom w:val="single" w:sz="4" w:space="0" w:color="auto"/>
                  </w:tcBorders>
                  <w:vAlign w:val="center"/>
                </w:tcPr>
                <w:p w:rsidR="00C21B48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 </w:t>
                  </w:r>
                </w:p>
                <w:p w:rsidR="00C21B48" w:rsidRPr="00A9271C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627" w:type="pct"/>
                  <w:tcBorders>
                    <w:bottom w:val="single" w:sz="4" w:space="0" w:color="auto"/>
                  </w:tcBorders>
                  <w:vAlign w:val="center"/>
                </w:tcPr>
                <w:p w:rsidR="00C21B48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II </w:t>
                  </w:r>
                </w:p>
                <w:p w:rsidR="00C21B48" w:rsidRPr="00A9271C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627" w:type="pct"/>
                  <w:tcBorders>
                    <w:bottom w:val="single" w:sz="4" w:space="0" w:color="auto"/>
                  </w:tcBorders>
                  <w:vAlign w:val="center"/>
                </w:tcPr>
                <w:p w:rsidR="009D13C7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III </w:t>
                  </w:r>
                </w:p>
                <w:p w:rsidR="00C21B48" w:rsidRPr="00A9271C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627" w:type="pct"/>
                  <w:tcBorders>
                    <w:bottom w:val="single" w:sz="4" w:space="0" w:color="auto"/>
                  </w:tcBorders>
                  <w:vAlign w:val="center"/>
                </w:tcPr>
                <w:p w:rsidR="00C21B48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IV </w:t>
                  </w:r>
                </w:p>
                <w:p w:rsidR="00C21B48" w:rsidRPr="00A9271C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627" w:type="pct"/>
                  <w:tcBorders>
                    <w:bottom w:val="single" w:sz="4" w:space="0" w:color="auto"/>
                  </w:tcBorders>
                  <w:vAlign w:val="center"/>
                </w:tcPr>
                <w:p w:rsidR="00C21B48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 </w:t>
                  </w:r>
                </w:p>
                <w:p w:rsidR="00C21B48" w:rsidRPr="00A9271C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</w:tr>
            <w:tr w:rsidR="00C21B48" w:rsidRPr="00284551" w:rsidTr="00C21B48">
              <w:trPr>
                <w:trHeight w:val="340"/>
              </w:trPr>
              <w:tc>
                <w:tcPr>
                  <w:tcW w:w="1865" w:type="pct"/>
                  <w:tcBorders>
                    <w:bottom w:val="nil"/>
                  </w:tcBorders>
                  <w:vAlign w:val="center"/>
                </w:tcPr>
                <w:p w:rsidR="00C21B48" w:rsidRPr="00A9271C" w:rsidRDefault="00C21B48" w:rsidP="00C21B48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>Income in money and in kind – total</w:t>
                  </w:r>
                </w:p>
              </w:tc>
              <w:tc>
                <w:tcPr>
                  <w:tcW w:w="627" w:type="pct"/>
                  <w:tcBorders>
                    <w:bottom w:val="nil"/>
                  </w:tcBorders>
                  <w:vAlign w:val="center"/>
                </w:tcPr>
                <w:p w:rsidR="00C21B48" w:rsidRPr="00A9271C" w:rsidRDefault="00C21B48" w:rsidP="00C21B48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>59182</w:t>
                  </w:r>
                </w:p>
              </w:tc>
              <w:tc>
                <w:tcPr>
                  <w:tcW w:w="627" w:type="pct"/>
                  <w:tcBorders>
                    <w:bottom w:val="nil"/>
                  </w:tcBorders>
                  <w:vAlign w:val="center"/>
                </w:tcPr>
                <w:p w:rsidR="00C21B48" w:rsidRPr="00A9271C" w:rsidRDefault="00C21B48" w:rsidP="00C21B48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>58656</w:t>
                  </w:r>
                </w:p>
              </w:tc>
              <w:tc>
                <w:tcPr>
                  <w:tcW w:w="627" w:type="pct"/>
                  <w:tcBorders>
                    <w:bottom w:val="nil"/>
                  </w:tcBorders>
                  <w:vAlign w:val="center"/>
                </w:tcPr>
                <w:p w:rsidR="00C21B48" w:rsidRPr="00A9271C" w:rsidRDefault="00C21B48" w:rsidP="00C21B48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60011</w:t>
                  </w:r>
                </w:p>
              </w:tc>
              <w:tc>
                <w:tcPr>
                  <w:tcW w:w="627" w:type="pct"/>
                  <w:tcBorders>
                    <w:bottom w:val="nil"/>
                  </w:tcBorders>
                  <w:vAlign w:val="center"/>
                </w:tcPr>
                <w:p w:rsidR="00C21B48" w:rsidRPr="001A2E3F" w:rsidRDefault="00C21B48" w:rsidP="00C21B48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1A2E3F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60639</w:t>
                  </w:r>
                </w:p>
              </w:tc>
              <w:tc>
                <w:tcPr>
                  <w:tcW w:w="627" w:type="pct"/>
                  <w:tcBorders>
                    <w:bottom w:val="nil"/>
                  </w:tcBorders>
                  <w:vAlign w:val="center"/>
                </w:tcPr>
                <w:p w:rsidR="00C21B48" w:rsidRPr="009D13C7" w:rsidRDefault="009D13C7" w:rsidP="00C21B48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Cyrl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Cyrl-RS"/>
                    </w:rPr>
                    <w:t>60065</w:t>
                  </w:r>
                </w:p>
              </w:tc>
            </w:tr>
            <w:tr w:rsidR="00C21B48" w:rsidRPr="00284551" w:rsidTr="00C21B48">
              <w:trPr>
                <w:trHeight w:val="340"/>
              </w:trPr>
              <w:tc>
                <w:tcPr>
                  <w:tcW w:w="1865" w:type="pct"/>
                  <w:tcBorders>
                    <w:top w:val="nil"/>
                  </w:tcBorders>
                  <w:vAlign w:val="center"/>
                </w:tcPr>
                <w:p w:rsidR="00C21B48" w:rsidRPr="00A9271C" w:rsidRDefault="00C21B48" w:rsidP="00C21B48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 xml:space="preserve">Individual consumption – total </w:t>
                  </w:r>
                </w:p>
              </w:tc>
              <w:tc>
                <w:tcPr>
                  <w:tcW w:w="627" w:type="pct"/>
                  <w:tcBorders>
                    <w:top w:val="nil"/>
                  </w:tcBorders>
                  <w:vAlign w:val="center"/>
                </w:tcPr>
                <w:p w:rsidR="00C21B48" w:rsidRPr="00A9271C" w:rsidRDefault="00C21B48" w:rsidP="00C21B48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>60626</w:t>
                  </w:r>
                </w:p>
              </w:tc>
              <w:tc>
                <w:tcPr>
                  <w:tcW w:w="627" w:type="pct"/>
                  <w:tcBorders>
                    <w:top w:val="nil"/>
                  </w:tcBorders>
                  <w:vAlign w:val="center"/>
                </w:tcPr>
                <w:p w:rsidR="00C21B48" w:rsidRPr="00A9271C" w:rsidRDefault="00C21B48" w:rsidP="00C21B48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>60158</w:t>
                  </w:r>
                </w:p>
              </w:tc>
              <w:tc>
                <w:tcPr>
                  <w:tcW w:w="627" w:type="pct"/>
                  <w:tcBorders>
                    <w:top w:val="nil"/>
                  </w:tcBorders>
                  <w:vAlign w:val="center"/>
                </w:tcPr>
                <w:p w:rsidR="00C21B48" w:rsidRPr="00A9271C" w:rsidRDefault="00C21B48" w:rsidP="00C21B48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60615</w:t>
                  </w:r>
                </w:p>
              </w:tc>
              <w:tc>
                <w:tcPr>
                  <w:tcW w:w="627" w:type="pct"/>
                  <w:tcBorders>
                    <w:top w:val="nil"/>
                  </w:tcBorders>
                  <w:vAlign w:val="center"/>
                </w:tcPr>
                <w:p w:rsidR="00C21B48" w:rsidRPr="001A2E3F" w:rsidRDefault="00C21B48" w:rsidP="00C21B48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1A2E3F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61467</w:t>
                  </w:r>
                </w:p>
              </w:tc>
              <w:tc>
                <w:tcPr>
                  <w:tcW w:w="627" w:type="pct"/>
                  <w:tcBorders>
                    <w:top w:val="nil"/>
                  </w:tcBorders>
                  <w:vAlign w:val="center"/>
                </w:tcPr>
                <w:p w:rsidR="00C21B48" w:rsidRPr="009D13C7" w:rsidRDefault="009D13C7" w:rsidP="00C21B48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Cyrl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Cyrl-RS"/>
                    </w:rPr>
                    <w:t>61370</w:t>
                  </w:r>
                </w:p>
              </w:tc>
            </w:tr>
          </w:tbl>
          <w:p w:rsidR="0038391D" w:rsidRPr="00EA585C" w:rsidRDefault="0038391D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6542" w:rsidRDefault="00196542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In the </w:t>
            </w:r>
            <w:r w:rsidR="00A9271C">
              <w:rPr>
                <w:rFonts w:ascii="Tahoma" w:hAnsi="Tahoma" w:cs="Tahoma"/>
                <w:sz w:val="18"/>
                <w:szCs w:val="18"/>
              </w:rPr>
              <w:t>f</w:t>
            </w:r>
            <w:r w:rsidR="00C21B48">
              <w:rPr>
                <w:rFonts w:ascii="Tahoma" w:hAnsi="Tahoma" w:cs="Tahoma"/>
                <w:sz w:val="18"/>
                <w:szCs w:val="18"/>
              </w:rPr>
              <w:t>irst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quarter</w:t>
            </w:r>
            <w:r w:rsidRPr="00EA5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201</w:t>
            </w:r>
            <w:r w:rsidR="00C21B48"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, the </w:t>
            </w:r>
            <w:r w:rsidR="003A27E0" w:rsidRPr="00C11C7C">
              <w:rPr>
                <w:rFonts w:ascii="Tahoma" w:hAnsi="Tahoma" w:cs="Tahoma"/>
                <w:bCs/>
                <w:sz w:val="18"/>
                <w:szCs w:val="18"/>
              </w:rPr>
              <w:t>average monthly</w:t>
            </w:r>
            <w:r w:rsidR="003A27E0" w:rsidRPr="000C0325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3A27E0">
              <w:rPr>
                <w:rFonts w:ascii="Tahoma" w:hAnsi="Tahoma" w:cs="Tahoma"/>
                <w:sz w:val="18"/>
                <w:szCs w:val="16"/>
              </w:rPr>
              <w:t>i</w:t>
            </w:r>
            <w:r w:rsidR="003A27E0" w:rsidRPr="000C0325">
              <w:rPr>
                <w:rFonts w:ascii="Tahoma" w:hAnsi="Tahoma" w:cs="Tahoma"/>
                <w:sz w:val="18"/>
                <w:szCs w:val="16"/>
              </w:rPr>
              <w:t>ncome in money and in kind</w:t>
            </w:r>
            <w:r w:rsidR="001D1E91" w:rsidRPr="00EA585C">
              <w:rPr>
                <w:rFonts w:ascii="Tahoma" w:hAnsi="Tahoma" w:cs="Tahoma"/>
                <w:sz w:val="18"/>
                <w:szCs w:val="18"/>
              </w:rPr>
              <w:t>, per a household</w:t>
            </w:r>
            <w:r w:rsidR="003A27E0"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 w:rsidR="00522F78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amounted to </w:t>
            </w:r>
            <w:r w:rsidR="00A9271C" w:rsidRPr="001A2E3F">
              <w:rPr>
                <w:rFonts w:ascii="Tahoma" w:hAnsi="Tahoma" w:cs="Tahoma"/>
                <w:sz w:val="18"/>
                <w:szCs w:val="20"/>
                <w:lang w:val="sr-Cyrl-CS"/>
              </w:rPr>
              <w:t>60</w:t>
            </w:r>
            <w:r w:rsidR="003A27E0">
              <w:rPr>
                <w:rFonts w:ascii="Tahoma" w:hAnsi="Tahoma" w:cs="Tahoma"/>
                <w:sz w:val="18"/>
                <w:szCs w:val="20"/>
                <w:lang w:val="sr-Cyrl-CS"/>
              </w:rPr>
              <w:t>065</w:t>
            </w:r>
            <w:r w:rsidR="00A9271C">
              <w:rPr>
                <w:rFonts w:ascii="Tahoma" w:hAnsi="Tahoma" w:cs="Tahoma"/>
                <w:sz w:val="18"/>
                <w:szCs w:val="20"/>
                <w:lang w:val="en-US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RSD</w:t>
            </w:r>
            <w:r w:rsidR="00A9271C">
              <w:rPr>
                <w:rFonts w:ascii="Tahoma" w:hAnsi="Tahoma" w:cs="Tahoma"/>
                <w:sz w:val="18"/>
                <w:szCs w:val="18"/>
              </w:rPr>
              <w:t xml:space="preserve"> and showed the increase of </w:t>
            </w:r>
            <w:r w:rsidR="003A27E0"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 w:rsidR="001462EA">
              <w:rPr>
                <w:rFonts w:ascii="Tahoma" w:hAnsi="Tahoma" w:cs="Tahoma"/>
                <w:sz w:val="18"/>
                <w:szCs w:val="18"/>
              </w:rPr>
              <w:t>.</w:t>
            </w:r>
            <w:r w:rsidR="003A27E0">
              <w:rPr>
                <w:rFonts w:ascii="Tahoma" w:hAnsi="Tahoma" w:cs="Tahoma"/>
                <w:sz w:val="18"/>
                <w:szCs w:val="18"/>
                <w:lang w:val="sr-Cyrl-RS"/>
              </w:rPr>
              <w:t>5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% in nominal terms, relative to the </w:t>
            </w:r>
            <w:r w:rsidR="001462EA" w:rsidRPr="001462EA">
              <w:rPr>
                <w:rFonts w:ascii="Tahoma" w:hAnsi="Tahoma" w:cs="Tahoma"/>
                <w:sz w:val="18"/>
                <w:szCs w:val="18"/>
              </w:rPr>
              <w:t>same quarter 201</w:t>
            </w:r>
            <w:r w:rsidR="003A27E0">
              <w:rPr>
                <w:rFonts w:ascii="Tahoma" w:hAnsi="Tahoma" w:cs="Tahoma"/>
                <w:sz w:val="18"/>
                <w:szCs w:val="18"/>
                <w:lang w:val="sr-Cyrl-RS"/>
              </w:rPr>
              <w:t>6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D669F0" w:rsidRPr="00EA585C">
              <w:rPr>
                <w:rFonts w:ascii="Tahoma" w:hAnsi="Tahoma" w:cs="Tahoma"/>
                <w:sz w:val="18"/>
                <w:szCs w:val="18"/>
              </w:rPr>
              <w:t>while relative to</w:t>
            </w:r>
            <w:r w:rsidR="00D669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69F0" w:rsidRPr="00EA585C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 w:rsidR="00D669F0">
              <w:rPr>
                <w:rFonts w:ascii="Tahoma" w:hAnsi="Tahoma" w:cs="Tahoma"/>
                <w:sz w:val="18"/>
                <w:szCs w:val="18"/>
                <w:lang w:val="sr-Latn-RS"/>
              </w:rPr>
              <w:t>fourth</w:t>
            </w:r>
            <w:r w:rsidR="00D669F0" w:rsidRPr="00EA585C">
              <w:rPr>
                <w:rFonts w:ascii="Tahoma" w:hAnsi="Tahoma" w:cs="Tahoma"/>
                <w:sz w:val="18"/>
                <w:szCs w:val="18"/>
              </w:rPr>
              <w:t xml:space="preserve"> quarter 2016, it is the decrease of 0.9%, in nominal terms.  </w:t>
            </w:r>
            <w:r w:rsidR="001D1E91" w:rsidRPr="00EA585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7181D" w:rsidRDefault="0057181D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7181D" w:rsidRPr="00EA585C" w:rsidRDefault="0057181D" w:rsidP="005718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The largest share of </w:t>
            </w:r>
            <w:r w:rsidRPr="00EA585C">
              <w:rPr>
                <w:rFonts w:ascii="Tahoma" w:hAnsi="Tahoma" w:cs="Tahoma"/>
                <w:sz w:val="18"/>
                <w:szCs w:val="20"/>
              </w:rPr>
              <w:t>income in money and in kind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refers to the salaries and wages of the employed –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FC48A6">
              <w:rPr>
                <w:rFonts w:ascii="Tahoma" w:hAnsi="Tahoma" w:cs="Tahoma"/>
                <w:sz w:val="18"/>
                <w:szCs w:val="18"/>
              </w:rPr>
              <w:t>9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3A0B59">
              <w:rPr>
                <w:rFonts w:ascii="Tahoma" w:hAnsi="Tahoma" w:cs="Tahoma"/>
                <w:sz w:val="18"/>
                <w:szCs w:val="18"/>
              </w:rPr>
              <w:t>5</w:t>
            </w:r>
            <w:r w:rsidRPr="00EA585C">
              <w:rPr>
                <w:rFonts w:ascii="Tahoma" w:hAnsi="Tahoma" w:cs="Tahoma"/>
                <w:sz w:val="18"/>
                <w:szCs w:val="18"/>
              </w:rPr>
              <w:t>%, pensions – 31.</w:t>
            </w:r>
            <w:r w:rsidR="00FC48A6"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Pr="001462EA">
              <w:rPr>
                <w:rFonts w:ascii="Tahoma" w:hAnsi="Tahoma" w:cs="Tahoma"/>
                <w:sz w:val="18"/>
                <w:szCs w:val="18"/>
              </w:rPr>
              <w:t xml:space="preserve">income from agriculture, hunting and fishing – </w:t>
            </w:r>
            <w:r w:rsidR="003A0B59">
              <w:rPr>
                <w:rFonts w:ascii="Tahoma" w:hAnsi="Tahoma" w:cs="Tahoma"/>
                <w:sz w:val="18"/>
                <w:szCs w:val="18"/>
              </w:rPr>
              <w:t>4</w:t>
            </w:r>
            <w:r w:rsidRPr="001462EA">
              <w:rPr>
                <w:rFonts w:ascii="Tahoma" w:hAnsi="Tahoma" w:cs="Tahoma"/>
                <w:sz w:val="18"/>
                <w:szCs w:val="18"/>
              </w:rPr>
              <w:t>.</w:t>
            </w:r>
            <w:r w:rsidR="003A0B59">
              <w:rPr>
                <w:rFonts w:ascii="Tahoma" w:hAnsi="Tahoma" w:cs="Tahoma"/>
                <w:sz w:val="18"/>
                <w:szCs w:val="18"/>
              </w:rPr>
              <w:t>3</w:t>
            </w:r>
            <w:r w:rsidRPr="001462EA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Pr="00EA585C">
              <w:rPr>
                <w:rFonts w:ascii="Tahoma" w:hAnsi="Tahoma" w:cs="Tahoma"/>
                <w:sz w:val="18"/>
                <w:szCs w:val="18"/>
              </w:rPr>
              <w:t>natural consumption</w:t>
            </w:r>
            <w:r w:rsidRPr="00EA5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A0B59">
              <w:rPr>
                <w:rFonts w:ascii="Tahoma" w:hAnsi="Tahoma" w:cs="Tahoma"/>
                <w:sz w:val="18"/>
                <w:szCs w:val="18"/>
              </w:rPr>
              <w:t>3</w:t>
            </w:r>
            <w:r w:rsidR="00FC48A6">
              <w:rPr>
                <w:rFonts w:ascii="Tahoma" w:hAnsi="Tahoma" w:cs="Tahoma"/>
                <w:sz w:val="18"/>
                <w:szCs w:val="18"/>
              </w:rPr>
              <w:t>.</w:t>
            </w:r>
            <w:r w:rsidR="003A0B59"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>%,</w:t>
            </w:r>
            <w:r w:rsidRPr="00EA5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0B59">
              <w:rPr>
                <w:rFonts w:ascii="Tahoma" w:hAnsi="Tahoma" w:cs="Tahoma"/>
                <w:sz w:val="18"/>
                <w:szCs w:val="18"/>
              </w:rPr>
              <w:t>other receipts – 3.2</w:t>
            </w:r>
            <w:r w:rsidR="003A0B59" w:rsidRPr="00EA585C">
              <w:rPr>
                <w:rFonts w:ascii="Tahoma" w:hAnsi="Tahoma" w:cs="Tahoma"/>
                <w:sz w:val="18"/>
                <w:szCs w:val="18"/>
              </w:rPr>
              <w:t>%</w:t>
            </w:r>
            <w:r w:rsidR="003A0B59">
              <w:rPr>
                <w:rFonts w:ascii="Tahoma" w:hAnsi="Tahoma" w:cs="Tahoma"/>
                <w:sz w:val="18"/>
                <w:szCs w:val="18"/>
              </w:rPr>
              <w:t>,</w:t>
            </w:r>
            <w:r w:rsidR="003A0B59" w:rsidRPr="00EA585C">
              <w:rPr>
                <w:rFonts w:ascii="Tahoma" w:hAnsi="Tahoma" w:cs="Tahoma"/>
                <w:sz w:val="18"/>
                <w:szCs w:val="18"/>
              </w:rPr>
              <w:t xml:space="preserve"> other income – </w:t>
            </w:r>
            <w:r w:rsidR="003A0B59">
              <w:rPr>
                <w:rFonts w:ascii="Tahoma" w:hAnsi="Tahoma" w:cs="Tahoma"/>
                <w:sz w:val="18"/>
                <w:szCs w:val="18"/>
              </w:rPr>
              <w:t>2</w:t>
            </w:r>
            <w:r w:rsidR="003A0B59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3A0B59">
              <w:rPr>
                <w:rFonts w:ascii="Tahoma" w:hAnsi="Tahoma" w:cs="Tahoma"/>
                <w:sz w:val="18"/>
                <w:szCs w:val="18"/>
              </w:rPr>
              <w:t xml:space="preserve">5%,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other social insurance receipts –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FC48A6">
              <w:rPr>
                <w:rFonts w:ascii="Tahoma" w:hAnsi="Tahoma" w:cs="Tahoma"/>
                <w:sz w:val="18"/>
                <w:szCs w:val="18"/>
              </w:rPr>
              <w:t>5</w:t>
            </w:r>
            <w:r w:rsidR="008C46A9">
              <w:rPr>
                <w:rFonts w:ascii="Tahoma" w:hAnsi="Tahoma" w:cs="Tahoma"/>
                <w:sz w:val="18"/>
                <w:szCs w:val="18"/>
              </w:rPr>
              <w:t>%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and 2.</w:t>
            </w:r>
            <w:r w:rsidR="003A0B59">
              <w:rPr>
                <w:rFonts w:ascii="Tahoma" w:hAnsi="Tahoma" w:cs="Tahoma"/>
                <w:sz w:val="18"/>
                <w:szCs w:val="18"/>
              </w:rPr>
              <w:t>6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 refers to income from other sources.   </w:t>
            </w:r>
          </w:p>
          <w:p w:rsidR="00196542" w:rsidRPr="00EA585C" w:rsidRDefault="00196542" w:rsidP="003308F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A44537" w:rsidP="00F511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1C7C">
              <w:rPr>
                <w:rFonts w:ascii="Tahoma" w:hAnsi="Tahoma" w:cs="Tahoma"/>
                <w:sz w:val="18"/>
                <w:szCs w:val="18"/>
              </w:rPr>
              <w:t>The individual consumption expenditures of the households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 xml:space="preserve">n the </w:t>
            </w:r>
            <w:r>
              <w:rPr>
                <w:rFonts w:ascii="Tahoma" w:hAnsi="Tahoma" w:cs="Tahoma"/>
                <w:sz w:val="18"/>
                <w:szCs w:val="18"/>
              </w:rPr>
              <w:t>first</w:t>
            </w:r>
            <w:r w:rsidR="0044789F"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>quarter</w:t>
            </w:r>
            <w:r w:rsidR="00196542" w:rsidRPr="00EA5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 xml:space="preserve">, amounted to </w:t>
            </w:r>
            <w:r w:rsidR="0044789F" w:rsidRPr="001A2E3F">
              <w:rPr>
                <w:rFonts w:ascii="Tahoma" w:hAnsi="Tahoma" w:cs="Tahoma"/>
                <w:sz w:val="18"/>
                <w:szCs w:val="20"/>
                <w:lang w:val="sr-Cyrl-CS"/>
              </w:rPr>
              <w:t>61</w:t>
            </w:r>
            <w:r>
              <w:rPr>
                <w:rFonts w:ascii="Tahoma" w:hAnsi="Tahoma" w:cs="Tahoma"/>
                <w:sz w:val="18"/>
                <w:szCs w:val="20"/>
                <w:lang w:val="sr-Latn-RS"/>
              </w:rPr>
              <w:t>370</w:t>
            </w:r>
            <w:r w:rsidR="0044789F">
              <w:rPr>
                <w:rFonts w:ascii="Tahoma" w:hAnsi="Tahoma" w:cs="Tahoma"/>
                <w:sz w:val="18"/>
                <w:szCs w:val="20"/>
                <w:lang w:val="en-US"/>
              </w:rPr>
              <w:t xml:space="preserve"> </w:t>
            </w:r>
            <w:r w:rsidR="00196542" w:rsidRPr="00284551">
              <w:rPr>
                <w:rFonts w:ascii="Tahoma" w:hAnsi="Tahoma" w:cs="Tahoma"/>
                <w:sz w:val="18"/>
                <w:szCs w:val="18"/>
              </w:rPr>
              <w:t>RS</w:t>
            </w:r>
            <w:r w:rsidR="00CD3A9C" w:rsidRPr="00284551">
              <w:rPr>
                <w:rFonts w:ascii="Tahoma" w:hAnsi="Tahoma" w:cs="Tahoma"/>
                <w:sz w:val="18"/>
                <w:szCs w:val="18"/>
              </w:rPr>
              <w:t>D</w:t>
            </w:r>
            <w:r w:rsidR="00CD3A9C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 showed the increase of 1</w:t>
            </w:r>
            <w:r w:rsidR="001462E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% in nominal terms, relative to the </w:t>
            </w:r>
            <w:r w:rsidR="001462EA" w:rsidRPr="001462EA">
              <w:rPr>
                <w:rFonts w:ascii="Tahoma" w:hAnsi="Tahoma" w:cs="Tahoma"/>
                <w:sz w:val="18"/>
                <w:szCs w:val="18"/>
              </w:rPr>
              <w:t>same quarter 201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A585C">
              <w:rPr>
                <w:rFonts w:ascii="Tahoma" w:hAnsi="Tahoma" w:cs="Tahoma"/>
                <w:sz w:val="18"/>
                <w:szCs w:val="18"/>
              </w:rPr>
              <w:t>while relative 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fourth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quarter 2016, it is the decrease of 0.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%, in nominal terms. </w:t>
            </w:r>
            <w:r w:rsidR="001462EA" w:rsidRPr="00EA585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196542" w:rsidRPr="00EA585C" w:rsidRDefault="00196542" w:rsidP="003308F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96542" w:rsidRPr="00EA585C" w:rsidRDefault="00196542" w:rsidP="006229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The largest share of the individual consumption expenditures of the households relates to expenditures for food and non-alcoholic beverages 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–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03890">
              <w:rPr>
                <w:rFonts w:ascii="Tahoma" w:hAnsi="Tahoma" w:cs="Tahoma"/>
                <w:sz w:val="18"/>
                <w:szCs w:val="18"/>
              </w:rPr>
              <w:t>3</w:t>
            </w:r>
            <w:r w:rsidRPr="00EA585C">
              <w:rPr>
                <w:rFonts w:ascii="Tahoma" w:hAnsi="Tahoma" w:cs="Tahoma"/>
                <w:sz w:val="18"/>
                <w:szCs w:val="18"/>
              </w:rPr>
              <w:t>%, followed by expenditures related to housing, water, electricity, gas and other fuels – 1</w:t>
            </w:r>
            <w:r w:rsidR="00A9297B"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03890"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%. Expenditures for transport amounted to </w:t>
            </w:r>
            <w:r w:rsidR="00103890">
              <w:rPr>
                <w:rFonts w:ascii="Tahoma" w:hAnsi="Tahoma" w:cs="Tahoma"/>
                <w:sz w:val="18"/>
                <w:szCs w:val="18"/>
              </w:rPr>
              <w:t>9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03890">
              <w:rPr>
                <w:rFonts w:ascii="Tahoma" w:hAnsi="Tahoma" w:cs="Tahoma"/>
                <w:sz w:val="18"/>
                <w:szCs w:val="18"/>
              </w:rPr>
              <w:t>0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A9297B" w:rsidRPr="00EA585C">
              <w:rPr>
                <w:rFonts w:ascii="Tahoma" w:hAnsi="Tahoma" w:cs="Tahoma"/>
                <w:sz w:val="18"/>
                <w:szCs w:val="18"/>
              </w:rPr>
              <w:t>for miscel</w:t>
            </w:r>
            <w:r w:rsidR="00A9297B">
              <w:rPr>
                <w:rFonts w:ascii="Tahoma" w:hAnsi="Tahoma" w:cs="Tahoma"/>
                <w:sz w:val="18"/>
                <w:szCs w:val="18"/>
              </w:rPr>
              <w:t>laneous goods and services – 6</w:t>
            </w:r>
            <w:r w:rsidR="00A9297B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A9297B">
              <w:rPr>
                <w:rFonts w:ascii="Tahoma" w:hAnsi="Tahoma" w:cs="Tahoma"/>
                <w:sz w:val="18"/>
                <w:szCs w:val="18"/>
              </w:rPr>
              <w:t>0</w:t>
            </w:r>
            <w:r w:rsidR="00A9297B"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103890">
              <w:rPr>
                <w:rFonts w:ascii="Tahoma" w:hAnsi="Tahoma" w:cs="Tahoma"/>
                <w:sz w:val="18"/>
                <w:szCs w:val="18"/>
              </w:rPr>
              <w:t>for clothing and footwear – 5</w:t>
            </w:r>
            <w:r w:rsidR="00103890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="00103890" w:rsidRPr="00EA585C">
              <w:rPr>
                <w:rFonts w:ascii="Tahoma" w:hAnsi="Tahoma" w:cs="Tahoma"/>
                <w:sz w:val="18"/>
                <w:szCs w:val="18"/>
              </w:rPr>
              <w:t>%,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03890" w:rsidRPr="00EA585C">
              <w:rPr>
                <w:rFonts w:ascii="Tahoma" w:hAnsi="Tahoma" w:cs="Tahoma"/>
                <w:sz w:val="18"/>
                <w:szCs w:val="18"/>
              </w:rPr>
              <w:t>for communication – 5.</w:t>
            </w:r>
            <w:r w:rsidR="00103890">
              <w:rPr>
                <w:rFonts w:ascii="Tahoma" w:hAnsi="Tahoma" w:cs="Tahoma"/>
                <w:sz w:val="18"/>
                <w:szCs w:val="18"/>
              </w:rPr>
              <w:t>2</w:t>
            </w:r>
            <w:r w:rsidR="00103890"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A9297B">
              <w:rPr>
                <w:rFonts w:ascii="Tahoma" w:hAnsi="Tahoma" w:cs="Tahoma"/>
                <w:sz w:val="18"/>
                <w:szCs w:val="18"/>
              </w:rPr>
              <w:t xml:space="preserve">for recreation and culture – 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>.</w:t>
            </w:r>
            <w:r w:rsidR="00103890">
              <w:rPr>
                <w:rFonts w:ascii="Tahoma" w:hAnsi="Tahoma" w:cs="Tahoma"/>
                <w:sz w:val="18"/>
                <w:szCs w:val="18"/>
              </w:rPr>
              <w:t>5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A9297B" w:rsidRPr="00A9297B">
              <w:rPr>
                <w:rFonts w:ascii="Tahoma" w:hAnsi="Tahoma" w:cs="Tahoma"/>
                <w:sz w:val="18"/>
                <w:szCs w:val="18"/>
              </w:rPr>
              <w:t>for alcoh</w:t>
            </w:r>
            <w:r w:rsidR="00A9297B">
              <w:rPr>
                <w:rFonts w:ascii="Tahoma" w:hAnsi="Tahoma" w:cs="Tahoma"/>
                <w:sz w:val="18"/>
                <w:szCs w:val="18"/>
              </w:rPr>
              <w:t>olic beverages and tobacco – 4.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="00A9297B" w:rsidRPr="00A9297B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>for furnishings, household equipment and rou</w:t>
            </w:r>
            <w:r w:rsidR="0045159B">
              <w:rPr>
                <w:rFonts w:ascii="Tahoma" w:hAnsi="Tahoma" w:cs="Tahoma"/>
                <w:sz w:val="18"/>
                <w:szCs w:val="18"/>
              </w:rPr>
              <w:t>tine household maintenance – 4.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>%,</w:t>
            </w:r>
            <w:r w:rsidR="004515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62719" w:rsidRPr="00EA585C">
              <w:rPr>
                <w:rFonts w:ascii="Tahoma" w:hAnsi="Tahoma" w:cs="Tahoma"/>
                <w:sz w:val="18"/>
                <w:szCs w:val="18"/>
              </w:rPr>
              <w:t>for health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 – 4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>%</w:t>
            </w:r>
            <w:r w:rsidR="00862719"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="0044640C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03890"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 relates to other groups of </w:t>
            </w:r>
            <w:r w:rsidR="001A4B86" w:rsidRPr="00EA585C">
              <w:rPr>
                <w:rFonts w:ascii="Tahoma" w:hAnsi="Tahoma" w:cs="Tahoma"/>
                <w:sz w:val="18"/>
                <w:szCs w:val="18"/>
              </w:rPr>
              <w:t xml:space="preserve">individual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consumption.   </w:t>
            </w:r>
          </w:p>
          <w:p w:rsidR="00196542" w:rsidRPr="00EA585C" w:rsidRDefault="00196542" w:rsidP="0047446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196542" w:rsidP="003262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Of the total number of households envisaged for interview in the </w:t>
            </w:r>
            <w:r w:rsidR="004014B3">
              <w:rPr>
                <w:rFonts w:ascii="Tahoma" w:hAnsi="Tahoma" w:cs="Tahoma"/>
                <w:sz w:val="18"/>
                <w:szCs w:val="18"/>
              </w:rPr>
              <w:t>f</w:t>
            </w:r>
            <w:r w:rsidR="00103890">
              <w:rPr>
                <w:rFonts w:ascii="Tahoma" w:hAnsi="Tahoma" w:cs="Tahoma"/>
                <w:sz w:val="18"/>
                <w:szCs w:val="18"/>
              </w:rPr>
              <w:t>irst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quarter 201</w:t>
            </w:r>
            <w:r w:rsidR="00103890"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>, (2214 for the Repub</w:t>
            </w:r>
            <w:r w:rsidR="004014B3">
              <w:rPr>
                <w:rFonts w:ascii="Tahoma" w:hAnsi="Tahoma" w:cs="Tahoma"/>
                <w:sz w:val="18"/>
                <w:szCs w:val="18"/>
              </w:rPr>
              <w:t>li</w:t>
            </w:r>
            <w:r w:rsidR="00103890">
              <w:rPr>
                <w:rFonts w:ascii="Tahoma" w:hAnsi="Tahoma" w:cs="Tahoma"/>
                <w:sz w:val="18"/>
                <w:szCs w:val="18"/>
              </w:rPr>
              <w:t>c of Serbia), the number of 1590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 xml:space="preserve"> households (7</w:t>
            </w:r>
            <w:r w:rsidR="004014B3"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%) were interviewed. </w:t>
            </w:r>
          </w:p>
          <w:p w:rsidR="00196542" w:rsidRPr="00EA585C" w:rsidRDefault="00196542" w:rsidP="0032629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CC14A3" w:rsidRDefault="00CC14A3" w:rsidP="00CC14A3">
            <w:pPr>
              <w:tabs>
                <w:tab w:val="left" w:pos="-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14A3">
              <w:rPr>
                <w:rFonts w:ascii="Tahoma" w:hAnsi="Tahoma" w:cs="Tahoma"/>
                <w:sz w:val="18"/>
                <w:szCs w:val="18"/>
              </w:rPr>
              <w:t xml:space="preserve">Starting from 1999 the Statistical Office of the Republic of Serbia has not at disposal and may not provide available certain data relative to AP Kosovo and </w:t>
            </w:r>
            <w:proofErr w:type="spellStart"/>
            <w:r w:rsidRPr="00CC14A3">
              <w:rPr>
                <w:rFonts w:ascii="Tahoma" w:hAnsi="Tahoma" w:cs="Tahoma"/>
                <w:sz w:val="18"/>
                <w:szCs w:val="18"/>
              </w:rPr>
              <w:t>Metohija</w:t>
            </w:r>
            <w:proofErr w:type="spellEnd"/>
            <w:r w:rsidRPr="00CC14A3">
              <w:rPr>
                <w:rFonts w:ascii="Tahoma" w:hAnsi="Tahoma" w:cs="Tahoma"/>
                <w:sz w:val="18"/>
                <w:szCs w:val="18"/>
              </w:rPr>
              <w:t xml:space="preserve"> and therefore these data are not included in the coverage for the Republic of Serbia (total).</w:t>
            </w:r>
          </w:p>
          <w:p w:rsidR="00CC14A3" w:rsidRPr="00CC14A3" w:rsidRDefault="00CC14A3" w:rsidP="00CC14A3">
            <w:pPr>
              <w:tabs>
                <w:tab w:val="left" w:pos="-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196542" w:rsidRPr="00103890" w:rsidRDefault="00196542" w:rsidP="004014B3">
            <w:pPr>
              <w:jc w:val="both"/>
              <w:rPr>
                <w:rStyle w:val="Hyperlink"/>
                <w:rFonts w:ascii="Tahoma" w:hAnsi="Tahoma" w:cs="Tahoma"/>
                <w:color w:val="auto"/>
                <w:sz w:val="18"/>
                <w:szCs w:val="18"/>
                <w:u w:val="none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More detailed information is available in the Statistical Release (No </w:t>
            </w:r>
            <w:r w:rsidR="00103890">
              <w:rPr>
                <w:rFonts w:ascii="Tahoma" w:hAnsi="Tahoma" w:cs="Tahoma"/>
                <w:sz w:val="18"/>
                <w:szCs w:val="18"/>
              </w:rPr>
              <w:t>163</w:t>
            </w:r>
            <w:r w:rsidRPr="00EA585C">
              <w:rPr>
                <w:rFonts w:ascii="Tahoma" w:hAnsi="Tahoma" w:cs="Tahoma"/>
                <w:sz w:val="18"/>
                <w:szCs w:val="18"/>
              </w:rPr>
              <w:t>, as of 15.</w:t>
            </w:r>
            <w:r w:rsidR="004014B3">
              <w:rPr>
                <w:rFonts w:ascii="Tahoma" w:hAnsi="Tahoma" w:cs="Tahoma"/>
                <w:sz w:val="18"/>
                <w:szCs w:val="18"/>
              </w:rPr>
              <w:t>0</w:t>
            </w:r>
            <w:r w:rsidR="00103890">
              <w:rPr>
                <w:rFonts w:ascii="Tahoma" w:hAnsi="Tahoma" w:cs="Tahoma"/>
                <w:sz w:val="18"/>
                <w:szCs w:val="18"/>
              </w:rPr>
              <w:t>6</w:t>
            </w:r>
            <w:r w:rsidR="004014B3">
              <w:rPr>
                <w:rFonts w:ascii="Tahoma" w:hAnsi="Tahoma" w:cs="Tahoma"/>
                <w:sz w:val="18"/>
                <w:szCs w:val="18"/>
              </w:rPr>
              <w:t>.2017</w:t>
            </w:r>
            <w:r w:rsidRPr="00EA585C">
              <w:rPr>
                <w:rFonts w:ascii="Tahoma" w:hAnsi="Tahoma" w:cs="Tahoma"/>
                <w:sz w:val="18"/>
                <w:szCs w:val="18"/>
              </w:rPr>
              <w:t>), “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Income in money and in kind</w:t>
            </w:r>
            <w:r w:rsidR="0036104B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and individual consumption of households</w:t>
            </w:r>
            <w:r w:rsidR="00103890">
              <w:rPr>
                <w:rFonts w:ascii="Tahoma" w:hAnsi="Tahoma" w:cs="Tahoma"/>
                <w:sz w:val="18"/>
                <w:szCs w:val="18"/>
              </w:rPr>
              <w:t>, 1</w:t>
            </w:r>
            <w:r w:rsidR="00103890" w:rsidRPr="00103890">
              <w:rPr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 quarter</w:t>
            </w:r>
            <w:r w:rsidR="00103890" w:rsidRPr="00EA585C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7 – </w:t>
            </w:r>
            <w:r w:rsidRPr="00EA585C">
              <w:rPr>
                <w:rFonts w:ascii="Tahoma" w:hAnsi="Tahoma" w:cs="Tahoma"/>
                <w:sz w:val="18"/>
                <w:szCs w:val="18"/>
              </w:rPr>
              <w:t>preliminary data,”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,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on the following link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8" w:history="1">
              <w:r w:rsidR="006B48CC" w:rsidRPr="00234788">
                <w:rPr>
                  <w:rStyle w:val="Hyperlink"/>
                  <w:rFonts w:ascii="Tahoma" w:hAnsi="Tahoma" w:cs="Tahoma"/>
                  <w:sz w:val="18"/>
                  <w:szCs w:val="20"/>
                </w:rPr>
                <w:t>http://webrzs.stat.gov.rs/WebSite/Public/PageView.aspx?pKey=23</w:t>
              </w:r>
            </w:hyperlink>
          </w:p>
          <w:p w:rsidR="00533922" w:rsidRDefault="00533922" w:rsidP="004014B3">
            <w:pPr>
              <w:jc w:val="both"/>
              <w:rPr>
                <w:rStyle w:val="Hyperlink"/>
                <w:rFonts w:ascii="Tahoma" w:hAnsi="Tahoma" w:cs="Tahoma"/>
                <w:sz w:val="18"/>
                <w:szCs w:val="20"/>
              </w:rPr>
            </w:pPr>
          </w:p>
          <w:p w:rsidR="00533922" w:rsidRPr="00EA585C" w:rsidRDefault="00533922" w:rsidP="00CC14A3">
            <w:pPr>
              <w:tabs>
                <w:tab w:val="left" w:pos="-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6542" w:rsidRPr="00EA585C" w:rsidRDefault="00196542" w:rsidP="005357CB"/>
    <w:sectPr w:rsidR="00196542" w:rsidRPr="00EA585C" w:rsidSect="00533922">
      <w:footerReference w:type="default" r:id="rId9"/>
      <w:headerReference w:type="first" r:id="rId10"/>
      <w:footerReference w:type="first" r:id="rId11"/>
      <w:pgSz w:w="11907" w:h="16840" w:code="9"/>
      <w:pgMar w:top="357" w:right="907" w:bottom="340" w:left="907" w:header="431" w:footer="567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72" w:rsidRDefault="00FF6072">
      <w:r>
        <w:separator/>
      </w:r>
    </w:p>
  </w:endnote>
  <w:endnote w:type="continuationSeparator" w:id="0">
    <w:p w:rsidR="00FF6072" w:rsidRDefault="00FF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340" w:type="dxa"/>
      <w:tblInd w:w="-106" w:type="dxa"/>
      <w:tblLook w:val="01E0" w:firstRow="1" w:lastRow="1" w:firstColumn="1" w:lastColumn="1" w:noHBand="0" w:noVBand="0"/>
    </w:tblPr>
    <w:tblGrid>
      <w:gridCol w:w="4788"/>
      <w:gridCol w:w="4788"/>
      <w:gridCol w:w="4788"/>
      <w:gridCol w:w="4788"/>
      <w:gridCol w:w="4788"/>
      <w:gridCol w:w="5400"/>
    </w:tblGrid>
    <w:tr w:rsidR="00196542" w:rsidRPr="003308F7"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A46E81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color w:val="333333"/>
            </w:rPr>
          </w:pPr>
        </w:p>
      </w:tc>
      <w:tc>
        <w:tcPr>
          <w:tcW w:w="5400" w:type="dxa"/>
        </w:tcPr>
        <w:p w:rsidR="00196542" w:rsidRPr="003308F7" w:rsidRDefault="00196542" w:rsidP="00520691">
          <w:pPr>
            <w:rPr>
              <w:rFonts w:ascii="Tahoma" w:hAnsi="Tahoma" w:cs="Tahoma"/>
              <w:color w:val="333333"/>
              <w:lang w:val="sr-Cyrl-CS"/>
            </w:rPr>
          </w:pPr>
        </w:p>
      </w:tc>
    </w:tr>
    <w:tr w:rsidR="00196542" w:rsidRPr="003308F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ind w:left="972"/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</w:tbl>
  <w:p w:rsidR="00196542" w:rsidRPr="00777121" w:rsidRDefault="00196542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Ind w:w="-106" w:type="dxa"/>
      <w:tblLook w:val="01E0" w:firstRow="1" w:lastRow="1" w:firstColumn="1" w:lastColumn="1" w:noHBand="0" w:noVBand="0"/>
    </w:tblPr>
    <w:tblGrid>
      <w:gridCol w:w="5328"/>
      <w:gridCol w:w="5040"/>
    </w:tblGrid>
    <w:tr w:rsidR="00196542" w:rsidRPr="003308F7">
      <w:trPr>
        <w:trHeight w:val="1445"/>
      </w:trPr>
      <w:tc>
        <w:tcPr>
          <w:tcW w:w="532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Contact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>: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Natasa Mijakovac, Head</w:t>
          </w:r>
        </w:p>
        <w:p w:rsidR="00196542" w:rsidRPr="003308F7" w:rsidRDefault="00196542" w:rsidP="00061F88">
          <w:pPr>
            <w:rPr>
              <w:rFonts w:ascii="Arial" w:hAnsi="Arial" w:cs="Arial"/>
              <w:sz w:val="20"/>
              <w:szCs w:val="20"/>
            </w:rPr>
          </w:pPr>
          <w:r w:rsidRPr="003308F7">
            <w:rPr>
              <w:rFonts w:ascii="Arial" w:hAnsi="Arial" w:cs="Arial"/>
              <w:sz w:val="20"/>
              <w:szCs w:val="20"/>
            </w:rPr>
            <w:t xml:space="preserve">Household budget survey and standard unit 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Phone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: +381 11 2412- 922, </w:t>
          </w:r>
          <w:r w:rsidRPr="003308F7">
            <w:rPr>
              <w:rFonts w:ascii="Tahoma" w:hAnsi="Tahoma" w:cs="Tahoma"/>
              <w:sz w:val="18"/>
              <w:szCs w:val="18"/>
            </w:rPr>
            <w:t>ext.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 242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</w:p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18"/>
              <w:szCs w:val="18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Information and Dissemination Unit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18"/>
              <w:szCs w:val="18"/>
              <w:lang w:val="sr-Cyrl-CS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Phone</w:t>
          </w:r>
          <w:r w:rsidRPr="003308F7">
            <w:rPr>
              <w:rFonts w:ascii="Tahoma" w:hAnsi="Tahoma" w:cs="Tahoma"/>
              <w:color w:val="808080"/>
              <w:sz w:val="18"/>
              <w:szCs w:val="18"/>
              <w:lang w:val="sr-Cyrl-CS"/>
            </w:rPr>
            <w:t>: +381 11 2401-284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stat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@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stat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.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gov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.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rs</w:t>
          </w:r>
        </w:p>
      </w:tc>
      <w:tc>
        <w:tcPr>
          <w:tcW w:w="5040" w:type="dxa"/>
        </w:tcPr>
        <w:p w:rsidR="00196542" w:rsidRPr="003308F7" w:rsidRDefault="00196542" w:rsidP="003308F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 xml:space="preserve">                          </w:t>
          </w:r>
          <w:r w:rsidRPr="003308F7">
            <w:rPr>
              <w:rFonts w:ascii="Tahoma" w:hAnsi="Tahoma" w:cs="Tahoma"/>
              <w:sz w:val="18"/>
              <w:szCs w:val="18"/>
            </w:rPr>
            <w:t>Director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   </w:t>
          </w:r>
          <w:r w:rsidRPr="003308F7">
            <w:rPr>
              <w:rFonts w:ascii="Tahoma" w:hAnsi="Tahoma" w:cs="Tahoma"/>
              <w:sz w:val="18"/>
              <w:szCs w:val="18"/>
            </w:rPr>
            <w:t xml:space="preserve">                                     Dr Miladin Kovačević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</w:tc>
    </w:tr>
  </w:tbl>
  <w:p w:rsidR="00196542" w:rsidRDefault="00196542" w:rsidP="003D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72" w:rsidRDefault="00FF6072">
      <w:r>
        <w:separator/>
      </w:r>
    </w:p>
  </w:footnote>
  <w:footnote w:type="continuationSeparator" w:id="0">
    <w:p w:rsidR="00FF6072" w:rsidRDefault="00FF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196542" w:rsidRPr="003308F7">
      <w:tc>
        <w:tcPr>
          <w:tcW w:w="3708" w:type="dxa"/>
        </w:tcPr>
        <w:p w:rsidR="00196542" w:rsidRPr="003308F7" w:rsidRDefault="00126B86" w:rsidP="003308F7">
          <w:pPr>
            <w:pStyle w:val="Header"/>
            <w:ind w:right="972"/>
            <w:rPr>
              <w:rFonts w:ascii="Tahoma" w:hAnsi="Tahoma" w:cs="Tahoma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43050" cy="714375"/>
                <wp:effectExtent l="0" t="0" r="0" b="9525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96542"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196542" w:rsidRPr="003308F7">
            <w:rPr>
              <w:rFonts w:ascii="Tahoma" w:hAnsi="Tahoma" w:cs="Tahoma"/>
              <w:sz w:val="20"/>
              <w:szCs w:val="20"/>
            </w:rPr>
            <w:t>Republic of Serbia</w:t>
          </w:r>
        </w:p>
        <w:p w:rsidR="00196542" w:rsidRPr="003308F7" w:rsidRDefault="00196542" w:rsidP="005928B2">
          <w:pPr>
            <w:pStyle w:val="Header"/>
            <w:rPr>
              <w:rFonts w:ascii="Tahoma" w:hAnsi="Tahoma" w:cs="Tahoma"/>
              <w:sz w:val="20"/>
              <w:szCs w:val="20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Statistical Office of the Republic of</w:t>
          </w:r>
          <w:r w:rsidR="005928B2">
            <w:rPr>
              <w:rFonts w:ascii="Tahoma" w:hAnsi="Tahoma" w:cs="Tahoma"/>
              <w:sz w:val="20"/>
              <w:szCs w:val="20"/>
            </w:rPr>
            <w:t xml:space="preserve"> </w:t>
          </w:r>
          <w:r w:rsidRPr="003308F7">
            <w:rPr>
              <w:rFonts w:ascii="Tahoma" w:hAnsi="Tahoma" w:cs="Tahoma"/>
              <w:sz w:val="20"/>
              <w:szCs w:val="20"/>
            </w:rPr>
            <w:t>Serbia</w:t>
          </w:r>
        </w:p>
      </w:tc>
      <w:tc>
        <w:tcPr>
          <w:tcW w:w="6588" w:type="dxa"/>
        </w:tcPr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3308F7">
            <w:rPr>
              <w:rFonts w:ascii="Tahoma" w:hAnsi="Tahoma" w:cs="Tahoma"/>
              <w:sz w:val="32"/>
              <w:szCs w:val="32"/>
            </w:rPr>
            <w:t>Press Release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Belgrade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r w:rsidRPr="003308F7">
            <w:rPr>
              <w:rFonts w:ascii="Tahoma" w:hAnsi="Tahoma" w:cs="Tahoma"/>
              <w:sz w:val="20"/>
              <w:szCs w:val="20"/>
            </w:rPr>
            <w:t>Milana Rakica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Phone +381 11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2412-922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www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gov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rs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gov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196542" w:rsidRPr="00E863C5" w:rsidRDefault="00196542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94533"/>
    <w:multiLevelType w:val="hybridMultilevel"/>
    <w:tmpl w:val="7CA40AAC"/>
    <w:lvl w:ilvl="0" w:tplc="820ED1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5374A"/>
    <w:multiLevelType w:val="hybridMultilevel"/>
    <w:tmpl w:val="77428182"/>
    <w:lvl w:ilvl="0" w:tplc="0860C3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D9AA6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46"/>
    <w:rsid w:val="00002B2E"/>
    <w:rsid w:val="00004E8D"/>
    <w:rsid w:val="00020D52"/>
    <w:rsid w:val="0002545B"/>
    <w:rsid w:val="000274F7"/>
    <w:rsid w:val="0003036B"/>
    <w:rsid w:val="0003363E"/>
    <w:rsid w:val="00046D40"/>
    <w:rsid w:val="00055DD0"/>
    <w:rsid w:val="00061F88"/>
    <w:rsid w:val="00064A46"/>
    <w:rsid w:val="00072F06"/>
    <w:rsid w:val="0007633A"/>
    <w:rsid w:val="0007672C"/>
    <w:rsid w:val="00091FE4"/>
    <w:rsid w:val="000949FC"/>
    <w:rsid w:val="0009545C"/>
    <w:rsid w:val="0009654E"/>
    <w:rsid w:val="00096C03"/>
    <w:rsid w:val="000C0479"/>
    <w:rsid w:val="000C32EC"/>
    <w:rsid w:val="000D4C48"/>
    <w:rsid w:val="000D591C"/>
    <w:rsid w:val="000E4493"/>
    <w:rsid w:val="000F1AC3"/>
    <w:rsid w:val="0010266B"/>
    <w:rsid w:val="00103890"/>
    <w:rsid w:val="00120D1E"/>
    <w:rsid w:val="001249CF"/>
    <w:rsid w:val="00126B86"/>
    <w:rsid w:val="00135DA8"/>
    <w:rsid w:val="00141F19"/>
    <w:rsid w:val="001435E7"/>
    <w:rsid w:val="001462EA"/>
    <w:rsid w:val="001468F8"/>
    <w:rsid w:val="00160B8E"/>
    <w:rsid w:val="00164722"/>
    <w:rsid w:val="00176915"/>
    <w:rsid w:val="00184754"/>
    <w:rsid w:val="001873EF"/>
    <w:rsid w:val="00196542"/>
    <w:rsid w:val="001965F8"/>
    <w:rsid w:val="001A23BF"/>
    <w:rsid w:val="001A2F99"/>
    <w:rsid w:val="001A4B86"/>
    <w:rsid w:val="001B5450"/>
    <w:rsid w:val="001B6414"/>
    <w:rsid w:val="001C2695"/>
    <w:rsid w:val="001D1C65"/>
    <w:rsid w:val="001D1E91"/>
    <w:rsid w:val="001D2D4D"/>
    <w:rsid w:val="001D4196"/>
    <w:rsid w:val="001D6782"/>
    <w:rsid w:val="001F0ECE"/>
    <w:rsid w:val="001F239C"/>
    <w:rsid w:val="001F6BEA"/>
    <w:rsid w:val="00205030"/>
    <w:rsid w:val="00207D59"/>
    <w:rsid w:val="002175E7"/>
    <w:rsid w:val="00225361"/>
    <w:rsid w:val="0023175D"/>
    <w:rsid w:val="00231A26"/>
    <w:rsid w:val="00231ABF"/>
    <w:rsid w:val="0023333F"/>
    <w:rsid w:val="00251A02"/>
    <w:rsid w:val="00251A62"/>
    <w:rsid w:val="00256DEF"/>
    <w:rsid w:val="00257C36"/>
    <w:rsid w:val="00271B88"/>
    <w:rsid w:val="00272496"/>
    <w:rsid w:val="0027598D"/>
    <w:rsid w:val="0027682D"/>
    <w:rsid w:val="00284551"/>
    <w:rsid w:val="002B6B77"/>
    <w:rsid w:val="002C0BFC"/>
    <w:rsid w:val="002C4604"/>
    <w:rsid w:val="002C5FE1"/>
    <w:rsid w:val="002D40A7"/>
    <w:rsid w:val="002F2CEE"/>
    <w:rsid w:val="00304476"/>
    <w:rsid w:val="003211C0"/>
    <w:rsid w:val="003216BB"/>
    <w:rsid w:val="0032339F"/>
    <w:rsid w:val="0032629A"/>
    <w:rsid w:val="003308F7"/>
    <w:rsid w:val="00330D22"/>
    <w:rsid w:val="003403FC"/>
    <w:rsid w:val="00345527"/>
    <w:rsid w:val="003517C3"/>
    <w:rsid w:val="003574E1"/>
    <w:rsid w:val="0036104B"/>
    <w:rsid w:val="00363706"/>
    <w:rsid w:val="00366796"/>
    <w:rsid w:val="00366A54"/>
    <w:rsid w:val="00370846"/>
    <w:rsid w:val="0038391D"/>
    <w:rsid w:val="00390BD4"/>
    <w:rsid w:val="0039267E"/>
    <w:rsid w:val="00397049"/>
    <w:rsid w:val="003A0B59"/>
    <w:rsid w:val="003A27E0"/>
    <w:rsid w:val="003A28B5"/>
    <w:rsid w:val="003A4427"/>
    <w:rsid w:val="003A56CB"/>
    <w:rsid w:val="003B0441"/>
    <w:rsid w:val="003C03A3"/>
    <w:rsid w:val="003C3808"/>
    <w:rsid w:val="003C3DE2"/>
    <w:rsid w:val="003C61A4"/>
    <w:rsid w:val="003D74B8"/>
    <w:rsid w:val="003E2095"/>
    <w:rsid w:val="004014B3"/>
    <w:rsid w:val="00402B16"/>
    <w:rsid w:val="00403B02"/>
    <w:rsid w:val="00403CB3"/>
    <w:rsid w:val="00411183"/>
    <w:rsid w:val="00412942"/>
    <w:rsid w:val="004135AE"/>
    <w:rsid w:val="0041705A"/>
    <w:rsid w:val="0041780F"/>
    <w:rsid w:val="00424CF7"/>
    <w:rsid w:val="0042713C"/>
    <w:rsid w:val="0043357F"/>
    <w:rsid w:val="00435D4B"/>
    <w:rsid w:val="00441B20"/>
    <w:rsid w:val="0044640C"/>
    <w:rsid w:val="0044789F"/>
    <w:rsid w:val="0045159B"/>
    <w:rsid w:val="004533F5"/>
    <w:rsid w:val="00463356"/>
    <w:rsid w:val="004678A5"/>
    <w:rsid w:val="00471F12"/>
    <w:rsid w:val="00474461"/>
    <w:rsid w:val="00487715"/>
    <w:rsid w:val="00487B95"/>
    <w:rsid w:val="00496736"/>
    <w:rsid w:val="00496B1A"/>
    <w:rsid w:val="004A77B9"/>
    <w:rsid w:val="004B273B"/>
    <w:rsid w:val="004C787A"/>
    <w:rsid w:val="004D29EC"/>
    <w:rsid w:val="005046AF"/>
    <w:rsid w:val="00520691"/>
    <w:rsid w:val="00522F78"/>
    <w:rsid w:val="0052505D"/>
    <w:rsid w:val="0052551D"/>
    <w:rsid w:val="00533922"/>
    <w:rsid w:val="00534708"/>
    <w:rsid w:val="005357CB"/>
    <w:rsid w:val="0054422B"/>
    <w:rsid w:val="00544FBE"/>
    <w:rsid w:val="00547548"/>
    <w:rsid w:val="005502B3"/>
    <w:rsid w:val="00550E46"/>
    <w:rsid w:val="005530AF"/>
    <w:rsid w:val="00557842"/>
    <w:rsid w:val="005615D7"/>
    <w:rsid w:val="00561FA1"/>
    <w:rsid w:val="00565647"/>
    <w:rsid w:val="00566DB6"/>
    <w:rsid w:val="0057181D"/>
    <w:rsid w:val="005741F0"/>
    <w:rsid w:val="00585995"/>
    <w:rsid w:val="0058629E"/>
    <w:rsid w:val="005928B2"/>
    <w:rsid w:val="005A2C94"/>
    <w:rsid w:val="005A2DFE"/>
    <w:rsid w:val="005A40CC"/>
    <w:rsid w:val="005B254C"/>
    <w:rsid w:val="005B34DC"/>
    <w:rsid w:val="005B36EB"/>
    <w:rsid w:val="005C19DE"/>
    <w:rsid w:val="005C6763"/>
    <w:rsid w:val="005D2260"/>
    <w:rsid w:val="005D4E08"/>
    <w:rsid w:val="005D7581"/>
    <w:rsid w:val="005D75FD"/>
    <w:rsid w:val="005E1BD9"/>
    <w:rsid w:val="005E2E37"/>
    <w:rsid w:val="005F0239"/>
    <w:rsid w:val="005F0708"/>
    <w:rsid w:val="005F7B45"/>
    <w:rsid w:val="006026DF"/>
    <w:rsid w:val="0062292F"/>
    <w:rsid w:val="00625EDE"/>
    <w:rsid w:val="00626099"/>
    <w:rsid w:val="0063461A"/>
    <w:rsid w:val="00643528"/>
    <w:rsid w:val="00643621"/>
    <w:rsid w:val="006509A6"/>
    <w:rsid w:val="0065456D"/>
    <w:rsid w:val="00654D35"/>
    <w:rsid w:val="006556F9"/>
    <w:rsid w:val="006650E5"/>
    <w:rsid w:val="00686CB7"/>
    <w:rsid w:val="00686F3D"/>
    <w:rsid w:val="00694C68"/>
    <w:rsid w:val="006B07F6"/>
    <w:rsid w:val="006B2269"/>
    <w:rsid w:val="006B48CC"/>
    <w:rsid w:val="006B492F"/>
    <w:rsid w:val="006B5BF3"/>
    <w:rsid w:val="006C1F3B"/>
    <w:rsid w:val="006C63F5"/>
    <w:rsid w:val="006E3A4A"/>
    <w:rsid w:val="006E4AE5"/>
    <w:rsid w:val="006F1A0C"/>
    <w:rsid w:val="006F2195"/>
    <w:rsid w:val="00712C2D"/>
    <w:rsid w:val="00713BB5"/>
    <w:rsid w:val="00714B75"/>
    <w:rsid w:val="007331D7"/>
    <w:rsid w:val="00733B48"/>
    <w:rsid w:val="007365C6"/>
    <w:rsid w:val="00740046"/>
    <w:rsid w:val="007404C8"/>
    <w:rsid w:val="00741E22"/>
    <w:rsid w:val="00751CB6"/>
    <w:rsid w:val="0075643F"/>
    <w:rsid w:val="00756BF6"/>
    <w:rsid w:val="00760320"/>
    <w:rsid w:val="007701F0"/>
    <w:rsid w:val="00770EE0"/>
    <w:rsid w:val="007765FF"/>
    <w:rsid w:val="00777121"/>
    <w:rsid w:val="0078106D"/>
    <w:rsid w:val="00793183"/>
    <w:rsid w:val="007A5492"/>
    <w:rsid w:val="007A6246"/>
    <w:rsid w:val="007B37EF"/>
    <w:rsid w:val="007B5772"/>
    <w:rsid w:val="007C0390"/>
    <w:rsid w:val="007E0B11"/>
    <w:rsid w:val="007E1CD5"/>
    <w:rsid w:val="007F21BB"/>
    <w:rsid w:val="00806B1D"/>
    <w:rsid w:val="00822A6C"/>
    <w:rsid w:val="0082493D"/>
    <w:rsid w:val="0083449D"/>
    <w:rsid w:val="0083799F"/>
    <w:rsid w:val="00845581"/>
    <w:rsid w:val="00850D9B"/>
    <w:rsid w:val="00852919"/>
    <w:rsid w:val="00853AC5"/>
    <w:rsid w:val="008562BC"/>
    <w:rsid w:val="00856670"/>
    <w:rsid w:val="00856961"/>
    <w:rsid w:val="00857897"/>
    <w:rsid w:val="00862719"/>
    <w:rsid w:val="00863BF3"/>
    <w:rsid w:val="00865F60"/>
    <w:rsid w:val="008705B8"/>
    <w:rsid w:val="00870CBB"/>
    <w:rsid w:val="00894E92"/>
    <w:rsid w:val="008A33BF"/>
    <w:rsid w:val="008B516F"/>
    <w:rsid w:val="008C012B"/>
    <w:rsid w:val="008C1DEB"/>
    <w:rsid w:val="008C46A9"/>
    <w:rsid w:val="008C7F10"/>
    <w:rsid w:val="008E2766"/>
    <w:rsid w:val="008E565A"/>
    <w:rsid w:val="008F5E0B"/>
    <w:rsid w:val="00903BB1"/>
    <w:rsid w:val="00915AE2"/>
    <w:rsid w:val="00917087"/>
    <w:rsid w:val="00923511"/>
    <w:rsid w:val="00926EDE"/>
    <w:rsid w:val="0092727A"/>
    <w:rsid w:val="009306FC"/>
    <w:rsid w:val="00930992"/>
    <w:rsid w:val="0093174C"/>
    <w:rsid w:val="009323A5"/>
    <w:rsid w:val="00934273"/>
    <w:rsid w:val="00945480"/>
    <w:rsid w:val="00950077"/>
    <w:rsid w:val="00953B0F"/>
    <w:rsid w:val="00954583"/>
    <w:rsid w:val="009564E3"/>
    <w:rsid w:val="009601D7"/>
    <w:rsid w:val="00960D4A"/>
    <w:rsid w:val="00966936"/>
    <w:rsid w:val="0096766B"/>
    <w:rsid w:val="0097253C"/>
    <w:rsid w:val="0098335C"/>
    <w:rsid w:val="0098528E"/>
    <w:rsid w:val="0098678D"/>
    <w:rsid w:val="00991A52"/>
    <w:rsid w:val="009940F5"/>
    <w:rsid w:val="009B534E"/>
    <w:rsid w:val="009D13C7"/>
    <w:rsid w:val="009D2EA9"/>
    <w:rsid w:val="009E5149"/>
    <w:rsid w:val="009F39A1"/>
    <w:rsid w:val="00A03CB3"/>
    <w:rsid w:val="00A10200"/>
    <w:rsid w:val="00A13AEB"/>
    <w:rsid w:val="00A1719A"/>
    <w:rsid w:val="00A20C3E"/>
    <w:rsid w:val="00A22E7A"/>
    <w:rsid w:val="00A26B78"/>
    <w:rsid w:val="00A274FF"/>
    <w:rsid w:val="00A3163D"/>
    <w:rsid w:val="00A36634"/>
    <w:rsid w:val="00A4287A"/>
    <w:rsid w:val="00A428B0"/>
    <w:rsid w:val="00A44149"/>
    <w:rsid w:val="00A44537"/>
    <w:rsid w:val="00A46E81"/>
    <w:rsid w:val="00A47466"/>
    <w:rsid w:val="00A5208E"/>
    <w:rsid w:val="00A56BD5"/>
    <w:rsid w:val="00A61633"/>
    <w:rsid w:val="00A658AB"/>
    <w:rsid w:val="00A709DE"/>
    <w:rsid w:val="00A74F13"/>
    <w:rsid w:val="00A7610F"/>
    <w:rsid w:val="00A8108C"/>
    <w:rsid w:val="00A87030"/>
    <w:rsid w:val="00A87CE4"/>
    <w:rsid w:val="00A9262E"/>
    <w:rsid w:val="00A9271C"/>
    <w:rsid w:val="00A9297B"/>
    <w:rsid w:val="00A96081"/>
    <w:rsid w:val="00AA643E"/>
    <w:rsid w:val="00AB71A9"/>
    <w:rsid w:val="00AD0EED"/>
    <w:rsid w:val="00AE6948"/>
    <w:rsid w:val="00AF08D7"/>
    <w:rsid w:val="00AF2917"/>
    <w:rsid w:val="00AF4C40"/>
    <w:rsid w:val="00B02FCB"/>
    <w:rsid w:val="00B05A80"/>
    <w:rsid w:val="00B0708D"/>
    <w:rsid w:val="00B15267"/>
    <w:rsid w:val="00B35071"/>
    <w:rsid w:val="00B354C8"/>
    <w:rsid w:val="00B52F9C"/>
    <w:rsid w:val="00B63685"/>
    <w:rsid w:val="00B702DC"/>
    <w:rsid w:val="00B77334"/>
    <w:rsid w:val="00B80576"/>
    <w:rsid w:val="00B8709F"/>
    <w:rsid w:val="00B87AFD"/>
    <w:rsid w:val="00B92171"/>
    <w:rsid w:val="00B94D30"/>
    <w:rsid w:val="00BB045E"/>
    <w:rsid w:val="00BD160E"/>
    <w:rsid w:val="00BD20EC"/>
    <w:rsid w:val="00BD3852"/>
    <w:rsid w:val="00BE772D"/>
    <w:rsid w:val="00BF544E"/>
    <w:rsid w:val="00C000AE"/>
    <w:rsid w:val="00C03C79"/>
    <w:rsid w:val="00C21B48"/>
    <w:rsid w:val="00C2290C"/>
    <w:rsid w:val="00C24CCA"/>
    <w:rsid w:val="00C41E6F"/>
    <w:rsid w:val="00C47914"/>
    <w:rsid w:val="00C62D20"/>
    <w:rsid w:val="00C65E39"/>
    <w:rsid w:val="00C671EF"/>
    <w:rsid w:val="00C71025"/>
    <w:rsid w:val="00C71792"/>
    <w:rsid w:val="00C74029"/>
    <w:rsid w:val="00C81A11"/>
    <w:rsid w:val="00C9436A"/>
    <w:rsid w:val="00C979A2"/>
    <w:rsid w:val="00CA6CA8"/>
    <w:rsid w:val="00CB311F"/>
    <w:rsid w:val="00CB3AF6"/>
    <w:rsid w:val="00CB5A51"/>
    <w:rsid w:val="00CC14A3"/>
    <w:rsid w:val="00CC167B"/>
    <w:rsid w:val="00CD3A9C"/>
    <w:rsid w:val="00CF2542"/>
    <w:rsid w:val="00CF6695"/>
    <w:rsid w:val="00D13002"/>
    <w:rsid w:val="00D13B37"/>
    <w:rsid w:val="00D13EFC"/>
    <w:rsid w:val="00D151F9"/>
    <w:rsid w:val="00D16FC5"/>
    <w:rsid w:val="00D22B02"/>
    <w:rsid w:val="00D258A9"/>
    <w:rsid w:val="00D25CB2"/>
    <w:rsid w:val="00D529A2"/>
    <w:rsid w:val="00D564BF"/>
    <w:rsid w:val="00D56EBE"/>
    <w:rsid w:val="00D63CC3"/>
    <w:rsid w:val="00D650B2"/>
    <w:rsid w:val="00D669F0"/>
    <w:rsid w:val="00D70A60"/>
    <w:rsid w:val="00D71D63"/>
    <w:rsid w:val="00D7678B"/>
    <w:rsid w:val="00D770DE"/>
    <w:rsid w:val="00D80A46"/>
    <w:rsid w:val="00D85DA1"/>
    <w:rsid w:val="00D86103"/>
    <w:rsid w:val="00D949D7"/>
    <w:rsid w:val="00DA1D6F"/>
    <w:rsid w:val="00DA7CCE"/>
    <w:rsid w:val="00DB1CD3"/>
    <w:rsid w:val="00DB3A52"/>
    <w:rsid w:val="00DB5A84"/>
    <w:rsid w:val="00DB67C3"/>
    <w:rsid w:val="00DC1842"/>
    <w:rsid w:val="00DC2F81"/>
    <w:rsid w:val="00DC3D60"/>
    <w:rsid w:val="00DE27EC"/>
    <w:rsid w:val="00DF3E12"/>
    <w:rsid w:val="00DF4EA2"/>
    <w:rsid w:val="00E07E14"/>
    <w:rsid w:val="00E1690F"/>
    <w:rsid w:val="00E17516"/>
    <w:rsid w:val="00E25494"/>
    <w:rsid w:val="00E32133"/>
    <w:rsid w:val="00E33527"/>
    <w:rsid w:val="00E36137"/>
    <w:rsid w:val="00E47D53"/>
    <w:rsid w:val="00E57B8A"/>
    <w:rsid w:val="00E6020E"/>
    <w:rsid w:val="00E648C3"/>
    <w:rsid w:val="00E661BC"/>
    <w:rsid w:val="00E66FD8"/>
    <w:rsid w:val="00E71A5D"/>
    <w:rsid w:val="00E8206A"/>
    <w:rsid w:val="00E8224E"/>
    <w:rsid w:val="00E82C2E"/>
    <w:rsid w:val="00E863C5"/>
    <w:rsid w:val="00E96D82"/>
    <w:rsid w:val="00EA0609"/>
    <w:rsid w:val="00EA229D"/>
    <w:rsid w:val="00EA585C"/>
    <w:rsid w:val="00EA5E4E"/>
    <w:rsid w:val="00EB3254"/>
    <w:rsid w:val="00EB5534"/>
    <w:rsid w:val="00EB7551"/>
    <w:rsid w:val="00EC10E6"/>
    <w:rsid w:val="00EC406E"/>
    <w:rsid w:val="00EC6DB4"/>
    <w:rsid w:val="00ED754E"/>
    <w:rsid w:val="00ED77AD"/>
    <w:rsid w:val="00ED7C7E"/>
    <w:rsid w:val="00EE46EB"/>
    <w:rsid w:val="00EE6EFD"/>
    <w:rsid w:val="00EE7166"/>
    <w:rsid w:val="00EE7B57"/>
    <w:rsid w:val="00EF5B5F"/>
    <w:rsid w:val="00F02774"/>
    <w:rsid w:val="00F03970"/>
    <w:rsid w:val="00F055E8"/>
    <w:rsid w:val="00F10C39"/>
    <w:rsid w:val="00F12E6A"/>
    <w:rsid w:val="00F12EE6"/>
    <w:rsid w:val="00F16439"/>
    <w:rsid w:val="00F1706F"/>
    <w:rsid w:val="00F23BCF"/>
    <w:rsid w:val="00F2785F"/>
    <w:rsid w:val="00F43852"/>
    <w:rsid w:val="00F46381"/>
    <w:rsid w:val="00F47F43"/>
    <w:rsid w:val="00F50C0D"/>
    <w:rsid w:val="00F511A1"/>
    <w:rsid w:val="00F55D00"/>
    <w:rsid w:val="00F62DB8"/>
    <w:rsid w:val="00F83A7F"/>
    <w:rsid w:val="00F8525C"/>
    <w:rsid w:val="00F85B98"/>
    <w:rsid w:val="00FA32DC"/>
    <w:rsid w:val="00FB02EE"/>
    <w:rsid w:val="00FB5A41"/>
    <w:rsid w:val="00FC48A6"/>
    <w:rsid w:val="00FD1E1E"/>
    <w:rsid w:val="00FD7D29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B0E49"/>
  <w15:docId w15:val="{30AF799A-E616-4342-88F3-2D55C30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83"/>
    <w:rPr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030"/>
    <w:pPr>
      <w:keepNext/>
      <w:jc w:val="both"/>
      <w:outlineLvl w:val="4"/>
    </w:pPr>
    <w:rPr>
      <w:rFonts w:ascii="Arial" w:hAnsi="Arial" w:cs="Arial"/>
      <w:b/>
      <w:bCs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550E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0E4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4D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B5A51"/>
  </w:style>
  <w:style w:type="paragraph" w:styleId="BalloonText">
    <w:name w:val="Balloon Text"/>
    <w:basedOn w:val="Normal"/>
    <w:link w:val="BalloonTextChar"/>
    <w:uiPriority w:val="99"/>
    <w:semiHidden/>
    <w:rsid w:val="00E17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Style">
    <w:name w:val="Style"/>
    <w:basedOn w:val="Normal"/>
    <w:uiPriority w:val="99"/>
    <w:rsid w:val="009F39A1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CarCar">
    <w:name w:val="Car Car"/>
    <w:basedOn w:val="Normal"/>
    <w:uiPriority w:val="99"/>
    <w:rsid w:val="00A36634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1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rzs.stat.gov.rs/WebSite/Public/PageView.aspx?pKey=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B33E-D185-4500-9E00-3BB85ACF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creator>Aleksandra Danilovic</dc:creator>
  <cp:lastModifiedBy>Aleksandra Danilovic</cp:lastModifiedBy>
  <cp:revision>61</cp:revision>
  <cp:lastPrinted>2017-06-14T07:51:00Z</cp:lastPrinted>
  <dcterms:created xsi:type="dcterms:W3CDTF">2016-12-14T09:34:00Z</dcterms:created>
  <dcterms:modified xsi:type="dcterms:W3CDTF">2017-06-15T05:30:00Z</dcterms:modified>
</cp:coreProperties>
</file>