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CD006A" w:rsidRPr="00062DEB" w:rsidTr="008059E5">
        <w:trPr>
          <w:trHeight w:val="9917"/>
        </w:trPr>
        <w:tc>
          <w:tcPr>
            <w:tcW w:w="10416" w:type="dxa"/>
          </w:tcPr>
          <w:p w:rsidR="00CD006A" w:rsidRPr="008059E5" w:rsidRDefault="0059315A" w:rsidP="00DC7389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  <w:r w:rsidR="00CD006A" w:rsidRPr="008059E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bookmarkStart w:id="0" w:name="_GoBack"/>
            <w:bookmarkEnd w:id="0"/>
            <w:r w:rsidR="00CD006A" w:rsidRPr="008059E5">
              <w:rPr>
                <w:rFonts w:ascii="Tahoma" w:hAnsi="Tahoma" w:cs="Tahoma"/>
                <w:sz w:val="22"/>
                <w:szCs w:val="22"/>
              </w:rPr>
              <w:t>.201</w:t>
            </w:r>
            <w:r w:rsidR="00614085" w:rsidRPr="008059E5">
              <w:rPr>
                <w:rFonts w:ascii="Tahoma" w:hAnsi="Tahoma" w:cs="Tahoma"/>
                <w:sz w:val="22"/>
                <w:szCs w:val="22"/>
              </w:rPr>
              <w:t>7</w:t>
            </w:r>
            <w:r w:rsidR="008059E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D006A" w:rsidRPr="008059E5" w:rsidRDefault="00661811" w:rsidP="00661811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8059E5">
              <w:rPr>
                <w:rFonts w:ascii="Arial" w:hAnsi="Arial" w:cs="Arial"/>
                <w:b/>
                <w:sz w:val="22"/>
                <w:szCs w:val="22"/>
              </w:rPr>
              <w:t>Poverty and Social Inequality</w:t>
            </w:r>
            <w:r w:rsidR="009B6CA0" w:rsidRPr="008059E5">
              <w:rPr>
                <w:rFonts w:ascii="Arial" w:hAnsi="Arial" w:cs="Arial"/>
                <w:b/>
                <w:sz w:val="22"/>
                <w:szCs w:val="22"/>
              </w:rPr>
              <w:t>, 2016</w:t>
            </w:r>
          </w:p>
          <w:p w:rsidR="00CD006A" w:rsidRPr="008059E5" w:rsidRDefault="00CD006A" w:rsidP="00DC7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06A" w:rsidRPr="008059E5" w:rsidRDefault="00562978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059E5">
              <w:rPr>
                <w:rFonts w:ascii="Arial" w:hAnsi="Arial" w:cs="Arial"/>
                <w:b/>
                <w:bCs/>
                <w:lang w:val="en-GB"/>
              </w:rPr>
              <w:t xml:space="preserve">The </w:t>
            </w:r>
            <w:r w:rsidR="00CD006A" w:rsidRPr="008059E5">
              <w:rPr>
                <w:rFonts w:ascii="Arial" w:hAnsi="Arial" w:cs="Arial"/>
                <w:b/>
                <w:bCs/>
                <w:lang w:val="en-GB"/>
              </w:rPr>
              <w:t>Survey on Income and Living Conditions</w:t>
            </w:r>
            <w:r w:rsidR="00CD006A" w:rsidRPr="008059E5">
              <w:rPr>
                <w:rFonts w:ascii="Arial" w:hAnsi="Arial" w:cs="Arial"/>
                <w:b/>
                <w:lang w:val="en-GB"/>
              </w:rPr>
              <w:t xml:space="preserve"> (SILC)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was conducted for the </w:t>
            </w:r>
            <w:r w:rsidRPr="008059E5">
              <w:rPr>
                <w:rFonts w:ascii="Arial" w:hAnsi="Arial" w:cs="Arial"/>
                <w:lang w:val="en-GB"/>
              </w:rPr>
              <w:t>fourth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time </w:t>
            </w:r>
            <w:r w:rsidRPr="008059E5">
              <w:rPr>
                <w:rFonts w:ascii="Arial" w:hAnsi="Arial" w:cs="Arial"/>
                <w:lang w:val="en-GB"/>
              </w:rPr>
              <w:t>o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n </w:t>
            </w:r>
            <w:r w:rsidRPr="008059E5">
              <w:rPr>
                <w:rFonts w:ascii="Arial" w:hAnsi="Arial" w:cs="Arial"/>
                <w:lang w:val="en-GB"/>
              </w:rPr>
              <w:t xml:space="preserve">the territory of the Republic of </w:t>
            </w:r>
            <w:r w:rsidR="00CD006A" w:rsidRPr="008059E5">
              <w:rPr>
                <w:rFonts w:ascii="Arial" w:hAnsi="Arial" w:cs="Arial"/>
                <w:lang w:val="en-GB"/>
              </w:rPr>
              <w:t>Serbia in the period from May until July 201</w:t>
            </w:r>
            <w:r w:rsidRPr="008059E5">
              <w:rPr>
                <w:rFonts w:ascii="Arial" w:hAnsi="Arial" w:cs="Arial"/>
                <w:lang w:val="en-GB"/>
              </w:rPr>
              <w:t>6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. </w:t>
            </w:r>
            <w:r w:rsidR="009B6CA0" w:rsidRPr="008059E5">
              <w:rPr>
                <w:rFonts w:ascii="Arial" w:hAnsi="Arial" w:cs="Arial"/>
                <w:lang w:val="en-GB"/>
              </w:rPr>
              <w:t>Out of total number of households envisaged for the survey in the third wave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</w:t>
            </w:r>
            <w:r w:rsidR="009B6CA0" w:rsidRPr="008059E5">
              <w:rPr>
                <w:rFonts w:ascii="Arial" w:hAnsi="Arial" w:cs="Arial"/>
                <w:lang w:val="en-GB"/>
              </w:rPr>
              <w:t>(</w:t>
            </w:r>
            <w:r w:rsidR="00CD006A" w:rsidRPr="008059E5">
              <w:rPr>
                <w:rFonts w:ascii="Arial" w:hAnsi="Arial" w:cs="Arial"/>
                <w:lang w:val="en-GB"/>
              </w:rPr>
              <w:t>6</w:t>
            </w:r>
            <w:r w:rsidR="009B6CA0" w:rsidRPr="008059E5">
              <w:rPr>
                <w:rFonts w:ascii="Arial" w:hAnsi="Arial" w:cs="Arial"/>
                <w:lang w:val="en-GB"/>
              </w:rPr>
              <w:t>.</w:t>
            </w:r>
            <w:r w:rsidRPr="008059E5">
              <w:rPr>
                <w:rFonts w:ascii="Arial" w:hAnsi="Arial" w:cs="Arial"/>
                <w:lang w:val="en-GB"/>
              </w:rPr>
              <w:t>366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households</w:t>
            </w:r>
            <w:r w:rsidRPr="008059E5">
              <w:rPr>
                <w:rFonts w:ascii="Arial" w:hAnsi="Arial" w:cs="Arial"/>
                <w:lang w:val="en-GB"/>
              </w:rPr>
              <w:t>)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, a total of </w:t>
            </w:r>
            <w:r w:rsidRPr="008059E5">
              <w:rPr>
                <w:rFonts w:ascii="Arial" w:hAnsi="Arial" w:cs="Arial"/>
                <w:lang w:val="en-GB"/>
              </w:rPr>
              <w:t>5</w:t>
            </w:r>
            <w:r w:rsidR="00CD006A" w:rsidRPr="008059E5">
              <w:rPr>
                <w:rFonts w:ascii="Arial" w:hAnsi="Arial" w:cs="Arial"/>
                <w:lang w:val="en-GB"/>
              </w:rPr>
              <w:t>,</w:t>
            </w:r>
            <w:r w:rsidRPr="008059E5">
              <w:rPr>
                <w:rFonts w:ascii="Arial" w:hAnsi="Arial" w:cs="Arial"/>
                <w:lang w:val="en-GB"/>
              </w:rPr>
              <w:t>5</w:t>
            </w:r>
            <w:r w:rsidR="00CD006A" w:rsidRPr="008059E5">
              <w:rPr>
                <w:rFonts w:ascii="Arial" w:hAnsi="Arial" w:cs="Arial"/>
                <w:lang w:val="en-GB"/>
              </w:rPr>
              <w:t>5</w:t>
            </w:r>
            <w:r w:rsidRPr="008059E5">
              <w:rPr>
                <w:rFonts w:ascii="Arial" w:hAnsi="Arial" w:cs="Arial"/>
                <w:lang w:val="en-GB"/>
              </w:rPr>
              <w:t>4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households were surveyed (8</w:t>
            </w:r>
            <w:r w:rsidRPr="008059E5">
              <w:rPr>
                <w:rFonts w:ascii="Arial" w:hAnsi="Arial" w:cs="Arial"/>
                <w:lang w:val="en-GB"/>
              </w:rPr>
              <w:t>7</w:t>
            </w:r>
            <w:r w:rsidR="00CD006A" w:rsidRPr="008059E5">
              <w:rPr>
                <w:rFonts w:ascii="Arial" w:hAnsi="Arial" w:cs="Arial"/>
                <w:lang w:val="en-GB"/>
              </w:rPr>
              <w:t>.</w:t>
            </w:r>
            <w:r w:rsidRPr="008059E5">
              <w:rPr>
                <w:rFonts w:ascii="Arial" w:hAnsi="Arial" w:cs="Arial"/>
                <w:lang w:val="en-GB"/>
              </w:rPr>
              <w:t>2</w:t>
            </w:r>
            <w:r w:rsidR="00CD006A" w:rsidRPr="008059E5">
              <w:rPr>
                <w:rFonts w:ascii="Arial" w:hAnsi="Arial" w:cs="Arial"/>
                <w:lang w:val="en-GB"/>
              </w:rPr>
              <w:t>%)</w:t>
            </w:r>
            <w:r w:rsidRPr="008059E5">
              <w:rPr>
                <w:rFonts w:ascii="Arial" w:hAnsi="Arial" w:cs="Arial"/>
                <w:lang w:val="en-GB"/>
              </w:rPr>
              <w:t>,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</w:t>
            </w:r>
            <w:r w:rsidR="009B6CA0" w:rsidRPr="008059E5">
              <w:rPr>
                <w:rFonts w:ascii="Arial" w:hAnsi="Arial" w:cs="Arial"/>
                <w:lang w:val="en-GB"/>
              </w:rPr>
              <w:t>i.e.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1</w:t>
            </w:r>
            <w:r w:rsidRPr="008059E5">
              <w:rPr>
                <w:rFonts w:ascii="Arial" w:hAnsi="Arial" w:cs="Arial"/>
                <w:lang w:val="en-GB"/>
              </w:rPr>
              <w:t>5</w:t>
            </w:r>
            <w:r w:rsidR="009B6CA0" w:rsidRPr="008059E5">
              <w:rPr>
                <w:rFonts w:ascii="Arial" w:hAnsi="Arial" w:cs="Arial"/>
                <w:lang w:val="en-GB"/>
              </w:rPr>
              <w:t>.</w:t>
            </w:r>
            <w:r w:rsidR="00CD006A" w:rsidRPr="008059E5">
              <w:rPr>
                <w:rFonts w:ascii="Arial" w:hAnsi="Arial" w:cs="Arial"/>
                <w:lang w:val="en-GB"/>
              </w:rPr>
              <w:t>0</w:t>
            </w:r>
            <w:r w:rsidRPr="008059E5">
              <w:rPr>
                <w:rFonts w:ascii="Arial" w:hAnsi="Arial" w:cs="Arial"/>
                <w:lang w:val="en-GB"/>
              </w:rPr>
              <w:t>57</w:t>
            </w:r>
            <w:r w:rsidR="00CD006A" w:rsidRPr="008059E5">
              <w:rPr>
                <w:rFonts w:ascii="Arial" w:hAnsi="Arial" w:cs="Arial"/>
                <w:lang w:val="en-GB"/>
              </w:rPr>
              <w:t xml:space="preserve"> persons aged 16 and over. The Survey was carried out using the direct interview method (face to face) with household members and it was anonymous.</w:t>
            </w: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059E5">
              <w:rPr>
                <w:rFonts w:ascii="Arial" w:hAnsi="Arial" w:cs="Arial"/>
                <w:lang w:val="en-GB"/>
              </w:rPr>
              <w:t xml:space="preserve">The </w:t>
            </w:r>
            <w:r w:rsidRPr="008059E5">
              <w:rPr>
                <w:rFonts w:ascii="Arial" w:hAnsi="Arial" w:cs="Arial"/>
                <w:bCs/>
                <w:lang w:val="en-GB"/>
              </w:rPr>
              <w:t>goal</w:t>
            </w:r>
            <w:r w:rsidRPr="008059E5">
              <w:rPr>
                <w:rFonts w:ascii="Arial" w:hAnsi="Arial" w:cs="Arial"/>
                <w:lang w:val="en-GB"/>
              </w:rPr>
              <w:t xml:space="preserve"> of the Survey is to collect data in order to calculate the indicators of poverty, social exclusion and living conditions. </w:t>
            </w:r>
            <w:r w:rsidR="00562978" w:rsidRPr="008059E5">
              <w:rPr>
                <w:rFonts w:ascii="Arial" w:hAnsi="Arial" w:cs="Arial"/>
                <w:lang w:val="en-GB"/>
              </w:rPr>
              <w:t>Conducting of the</w:t>
            </w:r>
            <w:r w:rsidRPr="008059E5">
              <w:rPr>
                <w:rFonts w:ascii="Arial" w:hAnsi="Arial" w:cs="Arial"/>
                <w:lang w:val="en-GB"/>
              </w:rPr>
              <w:t xml:space="preserve"> survey is of particular importance</w:t>
            </w:r>
            <w:r w:rsidR="00562978" w:rsidRPr="008059E5">
              <w:rPr>
                <w:rFonts w:ascii="Arial" w:hAnsi="Arial" w:cs="Arial"/>
                <w:lang w:val="en-GB"/>
              </w:rPr>
              <w:t>, knowing that</w:t>
            </w:r>
            <w:r w:rsidRPr="008059E5">
              <w:rPr>
                <w:rFonts w:ascii="Arial" w:hAnsi="Arial" w:cs="Arial"/>
                <w:lang w:val="en-GB"/>
              </w:rPr>
              <w:t xml:space="preserve"> it is based on the standardized methodology applied in all EU member states, thus ensuring comparability of the data. The Survey is conducted once a year.</w:t>
            </w: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562978" w:rsidRPr="008059E5" w:rsidRDefault="00562978" w:rsidP="00DC7389">
            <w:pPr>
              <w:pStyle w:val="NoSpacing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8059E5">
              <w:rPr>
                <w:rFonts w:ascii="Arial" w:hAnsi="Arial" w:cs="Arial"/>
                <w:b/>
                <w:bCs/>
                <w:lang w:val="en-GB"/>
              </w:rPr>
              <w:t>Main findings of the survey</w:t>
            </w: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059E5">
              <w:rPr>
                <w:rFonts w:ascii="Arial" w:hAnsi="Arial" w:cs="Arial"/>
                <w:lang w:val="en-GB"/>
              </w:rPr>
              <w:t xml:space="preserve">Moreover, </w:t>
            </w:r>
            <w:r w:rsidRPr="008059E5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8059E5">
              <w:rPr>
                <w:rFonts w:ascii="Arial" w:hAnsi="Arial" w:cs="Arial"/>
                <w:b/>
                <w:bCs/>
                <w:lang w:val="en-GB"/>
              </w:rPr>
              <w:t>at-risk-of-poverty rate</w:t>
            </w:r>
            <w:r w:rsidRPr="008059E5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059E5">
              <w:rPr>
                <w:rFonts w:ascii="Arial" w:hAnsi="Arial" w:cs="Arial"/>
                <w:lang w:val="en-GB"/>
              </w:rPr>
              <w:t>is</w:t>
            </w:r>
            <w:r w:rsidRPr="008059E5">
              <w:rPr>
                <w:rFonts w:ascii="Arial" w:hAnsi="Arial" w:cs="Arial"/>
                <w:bCs/>
                <w:lang w:val="en-GB"/>
              </w:rPr>
              <w:t xml:space="preserve"> 25.</w:t>
            </w:r>
            <w:r w:rsidR="00562978" w:rsidRPr="008059E5">
              <w:rPr>
                <w:rFonts w:ascii="Arial" w:hAnsi="Arial" w:cs="Arial"/>
                <w:bCs/>
                <w:lang w:val="en-GB"/>
              </w:rPr>
              <w:t>5</w:t>
            </w:r>
            <w:r w:rsidRPr="008059E5">
              <w:rPr>
                <w:rFonts w:ascii="Arial" w:hAnsi="Arial" w:cs="Arial"/>
                <w:bCs/>
                <w:lang w:val="en-GB"/>
              </w:rPr>
              <w:t xml:space="preserve">%. </w:t>
            </w:r>
            <w:r w:rsidRPr="008059E5">
              <w:rPr>
                <w:rFonts w:ascii="Arial" w:hAnsi="Arial" w:cs="Arial"/>
                <w:lang w:val="en-GB"/>
              </w:rPr>
              <w:t>These persons are not necessarily poor, but they are at the higher risk of poverty than the others.</w:t>
            </w:r>
            <w:r w:rsidR="00ED0213">
              <w:t xml:space="preserve"> </w:t>
            </w:r>
            <w:r w:rsidR="00ED0213" w:rsidRPr="00ED0213">
              <w:rPr>
                <w:rFonts w:ascii="Arial" w:hAnsi="Arial" w:cs="Arial"/>
                <w:lang w:val="en-GB"/>
              </w:rPr>
              <w:t>The at-risk-of-poverty or social exclusion rate in 2016 amounts to 38.7%.</w:t>
            </w: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CD006A" w:rsidRPr="008059E5" w:rsidRDefault="00CD006A" w:rsidP="00DC7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9E5">
              <w:rPr>
                <w:rFonts w:ascii="Arial" w:hAnsi="Arial" w:cs="Arial"/>
                <w:sz w:val="22"/>
                <w:szCs w:val="22"/>
              </w:rPr>
              <w:t xml:space="preserve">Individuals </w:t>
            </w:r>
            <w:r w:rsidR="00562978" w:rsidRPr="008059E5">
              <w:rPr>
                <w:rFonts w:ascii="Arial" w:hAnsi="Arial" w:cs="Arial"/>
                <w:sz w:val="22"/>
                <w:szCs w:val="22"/>
              </w:rPr>
              <w:t xml:space="preserve">aged </w:t>
            </w:r>
            <w:r w:rsidRPr="008059E5">
              <w:rPr>
                <w:rFonts w:ascii="Arial" w:hAnsi="Arial" w:cs="Arial"/>
                <w:sz w:val="22"/>
                <w:szCs w:val="22"/>
              </w:rPr>
              <w:t xml:space="preserve">18 </w:t>
            </w:r>
            <w:r w:rsidR="00562978" w:rsidRPr="008059E5">
              <w:rPr>
                <w:rFonts w:ascii="Arial" w:hAnsi="Arial" w:cs="Arial"/>
                <w:sz w:val="22"/>
                <w:szCs w:val="22"/>
              </w:rPr>
              <w:t xml:space="preserve">– 24 </w:t>
            </w:r>
            <w:r w:rsidRPr="008059E5">
              <w:rPr>
                <w:rFonts w:ascii="Arial" w:hAnsi="Arial" w:cs="Arial"/>
                <w:sz w:val="22"/>
                <w:szCs w:val="22"/>
              </w:rPr>
              <w:t>are the most exposed to the poverty risk (</w:t>
            </w:r>
            <w:r w:rsidR="00562978" w:rsidRPr="008059E5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62978" w:rsidRPr="008059E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562978" w:rsidRPr="008059E5">
              <w:rPr>
                <w:rFonts w:ascii="Arial" w:hAnsi="Arial" w:cs="Arial"/>
                <w:sz w:val="22"/>
                <w:szCs w:val="22"/>
              </w:rPr>
              <w:t xml:space="preserve">as well as the persons up to 18 (30.2%), </w:t>
            </w:r>
            <w:r w:rsidRPr="008059E5">
              <w:rPr>
                <w:rFonts w:ascii="Arial" w:hAnsi="Arial" w:cs="Arial"/>
                <w:sz w:val="22"/>
                <w:szCs w:val="22"/>
              </w:rPr>
              <w:t>while the lowest at-risk-of-poverty rate is found in the group of persons aged 65 and over (</w:t>
            </w:r>
            <w:r w:rsidR="00562978" w:rsidRPr="008059E5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62978" w:rsidRPr="008059E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D006A" w:rsidRPr="008059E5" w:rsidRDefault="00CD006A" w:rsidP="00DC7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059E5">
              <w:rPr>
                <w:rFonts w:ascii="Arial" w:hAnsi="Arial" w:cs="Arial"/>
                <w:lang w:val="en-GB"/>
              </w:rPr>
              <w:t xml:space="preserve">The highest at-risk-of-poverty rate have individuals in households composed of two adults with three or more dependent children, </w:t>
            </w:r>
            <w:r w:rsidR="00AF5D2C" w:rsidRPr="008059E5">
              <w:rPr>
                <w:rFonts w:ascii="Arial" w:hAnsi="Arial" w:cs="Arial"/>
                <w:lang w:val="en-GB"/>
              </w:rPr>
              <w:t>49</w:t>
            </w:r>
            <w:r w:rsidRPr="008059E5">
              <w:rPr>
                <w:rFonts w:ascii="Arial" w:hAnsi="Arial" w:cs="Arial"/>
                <w:bCs/>
                <w:lang w:val="en-GB"/>
              </w:rPr>
              <w:t>.</w:t>
            </w:r>
            <w:r w:rsidR="00AF5D2C" w:rsidRPr="008059E5">
              <w:rPr>
                <w:rFonts w:ascii="Arial" w:hAnsi="Arial" w:cs="Arial"/>
                <w:bCs/>
                <w:lang w:val="en-GB"/>
              </w:rPr>
              <w:t>8</w:t>
            </w:r>
            <w:r w:rsidRPr="008059E5">
              <w:rPr>
                <w:rFonts w:ascii="Arial" w:hAnsi="Arial" w:cs="Arial"/>
                <w:bCs/>
                <w:lang w:val="en-GB"/>
              </w:rPr>
              <w:t>%</w:t>
            </w:r>
            <w:r w:rsidR="00AF5D2C" w:rsidRPr="008059E5">
              <w:rPr>
                <w:rFonts w:ascii="Arial" w:hAnsi="Arial" w:cs="Arial"/>
                <w:bCs/>
                <w:lang w:val="en-GB"/>
              </w:rPr>
              <w:t>, followed by individuals below 65, living in single-person households, 40.1%.</w:t>
            </w:r>
          </w:p>
          <w:p w:rsidR="00CD006A" w:rsidRPr="008059E5" w:rsidRDefault="00CD006A" w:rsidP="00DC73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CD006A" w:rsidRPr="008059E5" w:rsidRDefault="00CD006A" w:rsidP="009B6C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9E5">
              <w:rPr>
                <w:rFonts w:ascii="Arial" w:hAnsi="Arial" w:cs="Arial"/>
                <w:sz w:val="22"/>
                <w:szCs w:val="22"/>
              </w:rPr>
              <w:t xml:space="preserve">According to the </w:t>
            </w:r>
            <w:r w:rsidRPr="008059E5">
              <w:rPr>
                <w:rFonts w:ascii="Arial" w:hAnsi="Arial" w:cs="Arial"/>
                <w:b/>
                <w:bCs/>
                <w:sz w:val="22"/>
                <w:szCs w:val="22"/>
              </w:rPr>
              <w:t>activity status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9E5">
              <w:rPr>
                <w:rFonts w:ascii="Arial" w:hAnsi="Arial" w:cs="Arial"/>
                <w:sz w:val="22"/>
                <w:szCs w:val="22"/>
              </w:rPr>
              <w:t>for persons aged 18 and over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059E5">
              <w:rPr>
                <w:rFonts w:ascii="Arial" w:hAnsi="Arial" w:cs="Arial"/>
                <w:sz w:val="22"/>
                <w:szCs w:val="22"/>
              </w:rPr>
              <w:t>the most exposed to the at-risk-of-poverty are unemployed persons (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>), while the lowest at-risk-of-poverty rate have employees working for employers (</w:t>
            </w:r>
            <w:r w:rsidR="00AF5D2C" w:rsidRPr="008059E5">
              <w:rPr>
                <w:rFonts w:ascii="Arial" w:hAnsi="Arial" w:cs="Arial"/>
                <w:sz w:val="22"/>
                <w:szCs w:val="22"/>
              </w:rPr>
              <w:t>9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 xml:space="preserve">). In case of self-employed persons, this rate amounts to 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 xml:space="preserve">. The at-risk-of-poverty rate for pensioners is 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F5D2C" w:rsidRPr="008059E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059E5"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Pr="008059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006A" w:rsidRPr="008059E5" w:rsidRDefault="00CD006A" w:rsidP="00DC7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006A" w:rsidRDefault="00CD006A" w:rsidP="00DC73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059E5">
              <w:rPr>
                <w:rFonts w:ascii="Arial" w:hAnsi="Arial" w:cs="Arial"/>
                <w:sz w:val="22"/>
                <w:szCs w:val="22"/>
              </w:rPr>
              <w:t>More detailed information related to poverty, material deprivation, inequality, and work intensity are available in the Statistical Release</w:t>
            </w:r>
            <w:r w:rsidR="00AF5D2C" w:rsidRPr="008059E5">
              <w:rPr>
                <w:rFonts w:ascii="Arial" w:hAnsi="Arial" w:cs="Arial"/>
                <w:sz w:val="22"/>
                <w:szCs w:val="22"/>
              </w:rPr>
              <w:t xml:space="preserve"> of the Statistical Office of the Republic of Serbia</w:t>
            </w:r>
            <w:r w:rsidRPr="0080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D2C" w:rsidRPr="008059E5">
              <w:rPr>
                <w:rFonts w:ascii="Arial" w:hAnsi="Arial" w:cs="Arial"/>
                <w:sz w:val="22"/>
                <w:szCs w:val="22"/>
              </w:rPr>
              <w:t>“</w:t>
            </w:r>
            <w:r w:rsidRPr="008059E5">
              <w:rPr>
                <w:rFonts w:ascii="Arial" w:hAnsi="Arial" w:cs="Arial"/>
                <w:i/>
                <w:iCs/>
                <w:sz w:val="22"/>
                <w:szCs w:val="22"/>
              </w:rPr>
              <w:t>Poverty and Social Inequality</w:t>
            </w:r>
            <w:r w:rsidR="00AF5D2C" w:rsidRPr="008059E5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Pr="008059E5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8059E5" w:rsidRDefault="008059E5" w:rsidP="00DC738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D006A" w:rsidRPr="00062DEB" w:rsidRDefault="008059E5" w:rsidP="008059E5">
            <w:pPr>
              <w:ind w:left="16"/>
              <w:rPr>
                <w:rFonts w:ascii="Tahoma" w:hAnsi="Tahoma" w:cs="Tahoma"/>
                <w:lang w:val="ru-RU"/>
              </w:rPr>
            </w:pPr>
            <w:r w:rsidRPr="008059E5">
              <w:rPr>
                <w:rFonts w:ascii="Arial" w:hAnsi="Arial" w:cs="Arial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8059E5">
              <w:rPr>
                <w:rFonts w:ascii="Arial" w:hAnsi="Arial" w:cs="Arial"/>
                <w:sz w:val="18"/>
                <w:szCs w:val="18"/>
              </w:rPr>
              <w:t>Metohia</w:t>
            </w:r>
            <w:proofErr w:type="spellEnd"/>
            <w:r w:rsidRPr="008059E5">
              <w:rPr>
                <w:rFonts w:ascii="Arial" w:hAnsi="Arial" w:cs="Arial"/>
                <w:sz w:val="18"/>
                <w:szCs w:val="18"/>
              </w:rPr>
              <w:t xml:space="preserve"> and therefore these data are not included in the coverage for the Republic of Serbia (total). </w:t>
            </w:r>
          </w:p>
        </w:tc>
      </w:tr>
      <w:tr w:rsidR="00661811" w:rsidRPr="00062DEB" w:rsidTr="008059E5">
        <w:trPr>
          <w:trHeight w:val="290"/>
        </w:trPr>
        <w:tc>
          <w:tcPr>
            <w:tcW w:w="10416" w:type="dxa"/>
          </w:tcPr>
          <w:p w:rsidR="00661811" w:rsidRPr="00A979C7" w:rsidRDefault="00661811" w:rsidP="00DC7389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CD006A" w:rsidRPr="00062DEB" w:rsidRDefault="00CD006A" w:rsidP="0078106D">
      <w:pPr>
        <w:rPr>
          <w:lang w:val="ru-RU"/>
        </w:rPr>
      </w:pPr>
    </w:p>
    <w:sectPr w:rsidR="00CD006A" w:rsidRPr="00062DEB" w:rsidSect="008562BC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60" w:right="1080" w:bottom="36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B3" w:rsidRDefault="005A07B3">
      <w:r>
        <w:separator/>
      </w:r>
    </w:p>
  </w:endnote>
  <w:endnote w:type="continuationSeparator" w:id="0">
    <w:p w:rsidR="005A07B3" w:rsidRDefault="005A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788"/>
      <w:gridCol w:w="5400"/>
    </w:tblGrid>
    <w:tr w:rsidR="00CD006A" w:rsidRPr="00531F76">
      <w:tc>
        <w:tcPr>
          <w:tcW w:w="4788" w:type="dxa"/>
        </w:tcPr>
        <w:p w:rsidR="00CD006A" w:rsidRPr="00DC7389" w:rsidRDefault="00CD006A" w:rsidP="00DC7389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CD006A" w:rsidRPr="00DC7389" w:rsidRDefault="00CD006A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CD006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350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CD006A" w:rsidRPr="00DC7389" w:rsidRDefault="00CD006A" w:rsidP="00DC7389">
          <w:pPr>
            <w:jc w:val="both"/>
            <w:rPr>
              <w:rFonts w:ascii="Tahoma" w:hAnsi="Tahoma" w:cs="Tahoma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CD006A" w:rsidRPr="00DC7389" w:rsidRDefault="00CD006A" w:rsidP="00DC7389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CD006A" w:rsidRPr="00777121" w:rsidRDefault="00CD006A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Ind w:w="-10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868"/>
      <w:gridCol w:w="5400"/>
    </w:tblGrid>
    <w:tr w:rsidR="00CD006A" w:rsidRPr="00531F76">
      <w:tc>
        <w:tcPr>
          <w:tcW w:w="5868" w:type="dxa"/>
        </w:tcPr>
        <w:p w:rsidR="00CD006A" w:rsidRPr="00DC7389" w:rsidRDefault="00CD006A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Contact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</w:t>
          </w:r>
        </w:p>
        <w:p w:rsidR="00CD006A" w:rsidRPr="00DC7389" w:rsidRDefault="00AF5D2C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>Katarina</w:t>
          </w:r>
          <w:r w:rsidR="00CD006A" w:rsidRPr="00DC7389">
            <w:rPr>
              <w:rFonts w:ascii="Tahoma" w:hAnsi="Tahoma" w:cs="Tahoma"/>
              <w:color w:val="808080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color w:val="808080"/>
              <w:sz w:val="20"/>
              <w:szCs w:val="20"/>
            </w:rPr>
            <w:t>Marjanov</w:t>
          </w:r>
          <w:r w:rsidR="00CD006A" w:rsidRPr="00DC7389">
            <w:rPr>
              <w:rFonts w:ascii="Tahoma" w:hAnsi="Tahoma" w:cs="Tahoma"/>
              <w:color w:val="808080"/>
              <w:sz w:val="20"/>
              <w:szCs w:val="20"/>
            </w:rPr>
            <w:t>ic</w:t>
          </w:r>
        </w:p>
        <w:p w:rsidR="00CD006A" w:rsidRPr="00DC7389" w:rsidRDefault="00CD006A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</w:t>
          </w: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-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12-</w:t>
          </w: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922 ext. 3</w:t>
          </w:r>
          <w:r w:rsidR="00AF5D2C">
            <w:rPr>
              <w:rFonts w:ascii="Tahoma" w:hAnsi="Tahoma" w:cs="Tahoma"/>
              <w:color w:val="808080"/>
              <w:sz w:val="20"/>
              <w:szCs w:val="20"/>
            </w:rPr>
            <w:t>63</w:t>
          </w:r>
        </w:p>
        <w:p w:rsidR="00AF5D2C" w:rsidRPr="001F0ECE" w:rsidRDefault="00AF5D2C" w:rsidP="00AF5D2C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 xml:space="preserve">e-mail: </w:t>
          </w:r>
          <w:proofErr w:type="spellStart"/>
          <w:r>
            <w:rPr>
              <w:rFonts w:ascii="Tahoma" w:hAnsi="Tahoma" w:cs="Tahoma"/>
              <w:color w:val="808080"/>
              <w:sz w:val="20"/>
              <w:szCs w:val="20"/>
            </w:rPr>
            <w:t>katarina.marjanovic</w:t>
          </w:r>
          <w:proofErr w:type="spellEnd"/>
          <w:r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@</w:t>
          </w:r>
          <w:r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proofErr w:type="spellStart"/>
          <w:r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proofErr w:type="spellEnd"/>
          <w:r w:rsidRPr="001F0EC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proofErr w:type="spellStart"/>
          <w:r>
            <w:rPr>
              <w:rFonts w:ascii="Tahoma" w:hAnsi="Tahoma" w:cs="Tahoma"/>
              <w:color w:val="808080"/>
              <w:sz w:val="20"/>
              <w:szCs w:val="20"/>
            </w:rPr>
            <w:t>rs</w:t>
          </w:r>
          <w:proofErr w:type="spellEnd"/>
        </w:p>
        <w:p w:rsidR="00CD006A" w:rsidRPr="00DC7389" w:rsidRDefault="00CD006A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CD006A" w:rsidRPr="00DC7389" w:rsidRDefault="00CD006A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:rsidR="00CD006A" w:rsidRPr="00DC7389" w:rsidRDefault="00CD006A" w:rsidP="00DC738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:rsidR="00CD006A" w:rsidRPr="00DC7389" w:rsidRDefault="00CD006A" w:rsidP="00DC7389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DC7389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DC7389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proofErr w:type="spellStart"/>
          <w:r w:rsidRPr="00DC7389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proofErr w:type="spellEnd"/>
          <w:r w:rsidRPr="00DC7389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proofErr w:type="spellStart"/>
          <w:r w:rsidRPr="00DC7389">
            <w:rPr>
              <w:rFonts w:ascii="Tahoma" w:hAnsi="Tahoma" w:cs="Tahoma"/>
              <w:color w:val="808080"/>
              <w:sz w:val="20"/>
              <w:szCs w:val="20"/>
            </w:rPr>
            <w:t>rs</w:t>
          </w:r>
          <w:proofErr w:type="spellEnd"/>
        </w:p>
        <w:p w:rsidR="00CD006A" w:rsidRPr="00DC7389" w:rsidRDefault="00CD006A" w:rsidP="00DC7389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</w:tcPr>
        <w:p w:rsidR="00CD006A" w:rsidRPr="00DC7389" w:rsidRDefault="00CD006A" w:rsidP="00DC7389">
          <w:pPr>
            <w:jc w:val="center"/>
            <w:rPr>
              <w:rFonts w:ascii="Tahoma" w:hAnsi="Tahoma" w:cs="Tahoma"/>
              <w:sz w:val="20"/>
              <w:szCs w:val="20"/>
              <w:highlight w:val="yellow"/>
            </w:rPr>
          </w:pPr>
        </w:p>
        <w:p w:rsidR="00CD006A" w:rsidRPr="00AF5D2C" w:rsidRDefault="00CD006A" w:rsidP="00DC7389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AF5D2C">
            <w:rPr>
              <w:rFonts w:ascii="Tahoma" w:hAnsi="Tahoma" w:cs="Tahoma"/>
              <w:sz w:val="20"/>
              <w:szCs w:val="20"/>
            </w:rPr>
            <w:t xml:space="preserve">Director, </w:t>
          </w:r>
        </w:p>
        <w:p w:rsidR="00CD006A" w:rsidRPr="00AF5D2C" w:rsidRDefault="00CD006A" w:rsidP="00DC7389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AF5D2C">
            <w:rPr>
              <w:rFonts w:ascii="Tahoma" w:hAnsi="Tahoma" w:cs="Tahoma"/>
              <w:sz w:val="20"/>
              <w:szCs w:val="20"/>
            </w:rPr>
            <w:t xml:space="preserve">Dr Miladin </w:t>
          </w:r>
          <w:proofErr w:type="spellStart"/>
          <w:r w:rsidRPr="00AF5D2C"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  <w:r w:rsidRPr="00AF5D2C"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CD006A" w:rsidRPr="00DC7389" w:rsidRDefault="00CD006A" w:rsidP="00DC7389">
          <w:pPr>
            <w:jc w:val="center"/>
            <w:rPr>
              <w:rFonts w:ascii="Tahoma" w:hAnsi="Tahoma" w:cs="Tahoma"/>
              <w:sz w:val="20"/>
              <w:szCs w:val="20"/>
              <w:highlight w:val="yellow"/>
            </w:rPr>
          </w:pPr>
          <w:r w:rsidRPr="00DC7389">
            <w:rPr>
              <w:rFonts w:ascii="Tahoma" w:hAnsi="Tahoma" w:cs="Tahoma"/>
              <w:sz w:val="20"/>
              <w:szCs w:val="20"/>
              <w:highlight w:val="yellow"/>
            </w:rPr>
            <w:br/>
          </w:r>
        </w:p>
      </w:tc>
    </w:tr>
  </w:tbl>
  <w:p w:rsidR="00CD006A" w:rsidRPr="00522A75" w:rsidRDefault="00CD006A" w:rsidP="00355F33">
    <w:pPr>
      <w:ind w:left="142" w:hanging="142"/>
      <w:rPr>
        <w:rFonts w:ascii="Arial" w:hAnsi="Arial" w:cs="Arial"/>
        <w:sz w:val="16"/>
        <w:szCs w:val="16"/>
      </w:rPr>
    </w:pPr>
    <w:r w:rsidRPr="00522A75">
      <w:rPr>
        <w:rFonts w:ascii="Arial" w:hAnsi="Arial" w:cs="Arial"/>
        <w:sz w:val="16"/>
        <w:szCs w:val="16"/>
        <w:vertAlign w:val="superscript"/>
      </w:rPr>
      <w:t xml:space="preserve">1) </w:t>
    </w:r>
  </w:p>
  <w:p w:rsidR="00CD006A" w:rsidRPr="002A1440" w:rsidRDefault="00CD006A" w:rsidP="0085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B3" w:rsidRDefault="005A07B3">
      <w:r>
        <w:separator/>
      </w:r>
    </w:p>
  </w:footnote>
  <w:footnote w:type="continuationSeparator" w:id="0">
    <w:p w:rsidR="005A07B3" w:rsidRDefault="005A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CD006A" w:rsidRPr="00550E46">
      <w:tc>
        <w:tcPr>
          <w:tcW w:w="3708" w:type="dxa"/>
        </w:tcPr>
        <w:p w:rsidR="00CD006A" w:rsidRPr="00DC7389" w:rsidRDefault="00CD006A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Press release page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DC7389">
            <w:rPr>
              <w:rStyle w:val="PageNumber"/>
              <w:rFonts w:ascii="Tahoma" w:hAnsi="Tahoma" w:cs="Tahoma"/>
              <w:sz w:val="20"/>
              <w:szCs w:val="20"/>
            </w:rPr>
            <w:fldChar w:fldCharType="begin"/>
          </w:r>
          <w:r w:rsidRPr="00DC7389">
            <w:rPr>
              <w:rStyle w:val="PageNumber"/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DC7389">
            <w:rPr>
              <w:rStyle w:val="PageNumber"/>
              <w:rFonts w:ascii="Tahoma" w:hAnsi="Tahoma" w:cs="Tahoma"/>
              <w:sz w:val="20"/>
              <w:szCs w:val="20"/>
            </w:rPr>
            <w:fldChar w:fldCharType="separate"/>
          </w:r>
          <w:r w:rsidR="008059E5">
            <w:rPr>
              <w:rStyle w:val="PageNumber"/>
              <w:rFonts w:ascii="Tahoma" w:hAnsi="Tahoma" w:cs="Tahoma"/>
              <w:noProof/>
              <w:sz w:val="20"/>
              <w:szCs w:val="20"/>
            </w:rPr>
            <w:t>2</w:t>
          </w:r>
          <w:r w:rsidRPr="00DC7389">
            <w:rPr>
              <w:rStyle w:val="PageNumber"/>
              <w:rFonts w:ascii="Tahoma" w:hAnsi="Tahoma" w:cs="Tahoma"/>
              <w:sz w:val="20"/>
              <w:szCs w:val="20"/>
            </w:rPr>
            <w:fldChar w:fldCharType="end"/>
          </w: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CD006A" w:rsidRPr="00550E46" w:rsidRDefault="00CD006A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68"/>
      <w:gridCol w:w="6120"/>
    </w:tblGrid>
    <w:tr w:rsidR="00CD006A" w:rsidRPr="00550E46">
      <w:tc>
        <w:tcPr>
          <w:tcW w:w="4068" w:type="dxa"/>
        </w:tcPr>
        <w:p w:rsidR="00CD006A" w:rsidRPr="00DC7389" w:rsidRDefault="00ED0213" w:rsidP="00DC7389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562100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006A" w:rsidRPr="00DC7389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CD006A" w:rsidRPr="00DC7389" w:rsidRDefault="00CD006A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120" w:type="dxa"/>
        </w:tcPr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DC7389">
            <w:rPr>
              <w:rFonts w:ascii="Tahoma" w:hAnsi="Tahoma" w:cs="Tahoma"/>
              <w:sz w:val="32"/>
              <w:szCs w:val="32"/>
            </w:rPr>
            <w:t>Press Release</w:t>
          </w: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Belgrade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DC738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Phone +381 11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www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DC7389">
            <w:rPr>
              <w:rFonts w:ascii="Tahoma" w:hAnsi="Tahoma" w:cs="Tahoma"/>
              <w:sz w:val="20"/>
              <w:szCs w:val="20"/>
            </w:rPr>
            <w:t>stat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CD006A" w:rsidRPr="00DC7389" w:rsidRDefault="00CD006A" w:rsidP="00DC738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DC7389">
            <w:rPr>
              <w:rFonts w:ascii="Tahoma" w:hAnsi="Tahoma" w:cs="Tahoma"/>
              <w:sz w:val="20"/>
              <w:szCs w:val="20"/>
            </w:rPr>
            <w:t>stat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DC7389">
            <w:rPr>
              <w:rFonts w:ascii="Tahoma" w:hAnsi="Tahoma" w:cs="Tahoma"/>
              <w:sz w:val="20"/>
              <w:szCs w:val="20"/>
            </w:rPr>
            <w:t>stat</w:t>
          </w:r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DC738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DC738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CD006A" w:rsidRPr="00E863C5" w:rsidRDefault="00CD006A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20D52"/>
    <w:rsid w:val="0003036B"/>
    <w:rsid w:val="00062DEB"/>
    <w:rsid w:val="0007633C"/>
    <w:rsid w:val="000953D0"/>
    <w:rsid w:val="000C439D"/>
    <w:rsid w:val="000D591C"/>
    <w:rsid w:val="00123783"/>
    <w:rsid w:val="001249CF"/>
    <w:rsid w:val="00133564"/>
    <w:rsid w:val="00137A01"/>
    <w:rsid w:val="00141F19"/>
    <w:rsid w:val="001435E7"/>
    <w:rsid w:val="001A23BF"/>
    <w:rsid w:val="001A2F99"/>
    <w:rsid w:val="001D2D4D"/>
    <w:rsid w:val="001F19B9"/>
    <w:rsid w:val="00202B4C"/>
    <w:rsid w:val="002175E7"/>
    <w:rsid w:val="00225361"/>
    <w:rsid w:val="0023175D"/>
    <w:rsid w:val="00235D69"/>
    <w:rsid w:val="00256DEF"/>
    <w:rsid w:val="00257C36"/>
    <w:rsid w:val="00271B88"/>
    <w:rsid w:val="0027682D"/>
    <w:rsid w:val="002A1440"/>
    <w:rsid w:val="002C0BFC"/>
    <w:rsid w:val="00304476"/>
    <w:rsid w:val="0032339F"/>
    <w:rsid w:val="00342AF7"/>
    <w:rsid w:val="00355F33"/>
    <w:rsid w:val="00365C1F"/>
    <w:rsid w:val="00366796"/>
    <w:rsid w:val="00381B1C"/>
    <w:rsid w:val="0039267E"/>
    <w:rsid w:val="003A28B5"/>
    <w:rsid w:val="003B0441"/>
    <w:rsid w:val="003C03A3"/>
    <w:rsid w:val="003C3808"/>
    <w:rsid w:val="00403B02"/>
    <w:rsid w:val="00403CB3"/>
    <w:rsid w:val="00406C92"/>
    <w:rsid w:val="00424CF7"/>
    <w:rsid w:val="00487B95"/>
    <w:rsid w:val="00496C4D"/>
    <w:rsid w:val="00520691"/>
    <w:rsid w:val="00522A75"/>
    <w:rsid w:val="0052551D"/>
    <w:rsid w:val="00531F76"/>
    <w:rsid w:val="00542814"/>
    <w:rsid w:val="00544FBE"/>
    <w:rsid w:val="00547548"/>
    <w:rsid w:val="00550E46"/>
    <w:rsid w:val="00556E52"/>
    <w:rsid w:val="00557842"/>
    <w:rsid w:val="00561FA1"/>
    <w:rsid w:val="00562978"/>
    <w:rsid w:val="00566DB6"/>
    <w:rsid w:val="005741F0"/>
    <w:rsid w:val="0059315A"/>
    <w:rsid w:val="005A07B3"/>
    <w:rsid w:val="005A40CC"/>
    <w:rsid w:val="005B254C"/>
    <w:rsid w:val="005C6763"/>
    <w:rsid w:val="005D4E08"/>
    <w:rsid w:val="005D75FD"/>
    <w:rsid w:val="005E2E37"/>
    <w:rsid w:val="00600033"/>
    <w:rsid w:val="00612F5D"/>
    <w:rsid w:val="00614085"/>
    <w:rsid w:val="00643621"/>
    <w:rsid w:val="00661811"/>
    <w:rsid w:val="006B2269"/>
    <w:rsid w:val="006B5BF3"/>
    <w:rsid w:val="006C63F5"/>
    <w:rsid w:val="006E4AE5"/>
    <w:rsid w:val="00706315"/>
    <w:rsid w:val="007404C8"/>
    <w:rsid w:val="00751CB6"/>
    <w:rsid w:val="007701F0"/>
    <w:rsid w:val="007766CB"/>
    <w:rsid w:val="00777121"/>
    <w:rsid w:val="0078106D"/>
    <w:rsid w:val="007B1446"/>
    <w:rsid w:val="007E0B11"/>
    <w:rsid w:val="007E1CD5"/>
    <w:rsid w:val="00801B89"/>
    <w:rsid w:val="008059E5"/>
    <w:rsid w:val="00822A6C"/>
    <w:rsid w:val="00850D9B"/>
    <w:rsid w:val="008562BC"/>
    <w:rsid w:val="00865F60"/>
    <w:rsid w:val="008A33BF"/>
    <w:rsid w:val="008B516F"/>
    <w:rsid w:val="008C1DEB"/>
    <w:rsid w:val="008C7F10"/>
    <w:rsid w:val="008F5E0B"/>
    <w:rsid w:val="00915AE2"/>
    <w:rsid w:val="00923511"/>
    <w:rsid w:val="00930992"/>
    <w:rsid w:val="00953B0F"/>
    <w:rsid w:val="00954583"/>
    <w:rsid w:val="00966936"/>
    <w:rsid w:val="0097253C"/>
    <w:rsid w:val="009773FE"/>
    <w:rsid w:val="0098528E"/>
    <w:rsid w:val="009940F5"/>
    <w:rsid w:val="009B6CA0"/>
    <w:rsid w:val="009C0DD6"/>
    <w:rsid w:val="009C2F7D"/>
    <w:rsid w:val="00A17177"/>
    <w:rsid w:val="00A25E8A"/>
    <w:rsid w:val="00A274FF"/>
    <w:rsid w:val="00A44149"/>
    <w:rsid w:val="00A61633"/>
    <w:rsid w:val="00A658AB"/>
    <w:rsid w:val="00A74F13"/>
    <w:rsid w:val="00A7610F"/>
    <w:rsid w:val="00A91BD4"/>
    <w:rsid w:val="00A9262E"/>
    <w:rsid w:val="00A979C7"/>
    <w:rsid w:val="00AD231D"/>
    <w:rsid w:val="00AF4C40"/>
    <w:rsid w:val="00AF5D2C"/>
    <w:rsid w:val="00B0708D"/>
    <w:rsid w:val="00B31CAD"/>
    <w:rsid w:val="00B52F9C"/>
    <w:rsid w:val="00B63685"/>
    <w:rsid w:val="00B77334"/>
    <w:rsid w:val="00B90125"/>
    <w:rsid w:val="00B92171"/>
    <w:rsid w:val="00B93B48"/>
    <w:rsid w:val="00BA271F"/>
    <w:rsid w:val="00BC01D4"/>
    <w:rsid w:val="00BD160E"/>
    <w:rsid w:val="00BD3852"/>
    <w:rsid w:val="00BE772D"/>
    <w:rsid w:val="00C71792"/>
    <w:rsid w:val="00C91EFF"/>
    <w:rsid w:val="00CA5582"/>
    <w:rsid w:val="00CA6CA8"/>
    <w:rsid w:val="00CC167B"/>
    <w:rsid w:val="00CD006A"/>
    <w:rsid w:val="00D01893"/>
    <w:rsid w:val="00D13EFC"/>
    <w:rsid w:val="00D25CB2"/>
    <w:rsid w:val="00D564BF"/>
    <w:rsid w:val="00D56EBE"/>
    <w:rsid w:val="00D70A60"/>
    <w:rsid w:val="00D85DA1"/>
    <w:rsid w:val="00D86103"/>
    <w:rsid w:val="00D93763"/>
    <w:rsid w:val="00DA56A9"/>
    <w:rsid w:val="00DC7389"/>
    <w:rsid w:val="00DD143D"/>
    <w:rsid w:val="00E1690F"/>
    <w:rsid w:val="00E16ACB"/>
    <w:rsid w:val="00E36137"/>
    <w:rsid w:val="00E47D53"/>
    <w:rsid w:val="00E5428C"/>
    <w:rsid w:val="00E57B8A"/>
    <w:rsid w:val="00E6020E"/>
    <w:rsid w:val="00E863C5"/>
    <w:rsid w:val="00EA0609"/>
    <w:rsid w:val="00EB3741"/>
    <w:rsid w:val="00ED0213"/>
    <w:rsid w:val="00ED77AD"/>
    <w:rsid w:val="00EE6EFD"/>
    <w:rsid w:val="00F16439"/>
    <w:rsid w:val="00F1706F"/>
    <w:rsid w:val="00F23BCF"/>
    <w:rsid w:val="00F62DB8"/>
    <w:rsid w:val="00F85B98"/>
    <w:rsid w:val="00FB1578"/>
    <w:rsid w:val="00FC35FB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04318"/>
  <w15:docId w15:val="{0A428D7B-B9EE-415D-B191-0A8F8FB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9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528E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528E5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0E4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C2F7D"/>
  </w:style>
  <w:style w:type="paragraph" w:styleId="BalloonText">
    <w:name w:val="Balloon Text"/>
    <w:basedOn w:val="Normal"/>
    <w:link w:val="BalloonTextChar"/>
    <w:uiPriority w:val="99"/>
    <w:semiHidden/>
    <w:rsid w:val="00BC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C01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BC01D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dc:description/>
  <cp:lastModifiedBy>Katarina Marjanovic</cp:lastModifiedBy>
  <cp:revision>3</cp:revision>
  <cp:lastPrinted>2011-03-29T14:27:00Z</cp:lastPrinted>
  <dcterms:created xsi:type="dcterms:W3CDTF">2017-03-31T10:18:00Z</dcterms:created>
  <dcterms:modified xsi:type="dcterms:W3CDTF">2017-03-31T11:30:00Z</dcterms:modified>
</cp:coreProperties>
</file>