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5166"/>
        <w:gridCol w:w="3288"/>
      </w:tblGrid>
      <w:tr w:rsidR="00EF554A" w:rsidRPr="006046B5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6046B5" w:rsidRDefault="00EF554A" w:rsidP="00C149A4">
            <w:pPr>
              <w:rPr>
                <w:lang w:val="sr-Cyrl-CS"/>
              </w:rPr>
            </w:pPr>
            <w:r w:rsidRPr="006046B5">
              <w:rPr>
                <w:sz w:val="8"/>
                <w:szCs w:val="8"/>
              </w:rPr>
              <w:t xml:space="preserve">  </w:t>
            </w:r>
            <w:r w:rsidRPr="006046B5">
              <w:rPr>
                <w:sz w:val="8"/>
                <w:szCs w:val="8"/>
                <w:lang w:val="sr-Cyrl-CS"/>
              </w:rPr>
              <w:t xml:space="preserve">   </w:t>
            </w:r>
            <w:r w:rsidRPr="006046B5">
              <w:rPr>
                <w:sz w:val="8"/>
                <w:szCs w:val="8"/>
              </w:rPr>
              <w:t xml:space="preserve">               </w:t>
            </w:r>
            <w:r w:rsidR="00513623" w:rsidRPr="006046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623" w:rsidRPr="006046B5">
              <w:rPr>
                <w:noProof/>
              </w:rPr>
              <w:drawing>
                <wp:inline distT="0" distB="0" distL="0" distR="0">
                  <wp:extent cx="869950" cy="2095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643ED7" w:rsidRDefault="00863BD0" w:rsidP="002338F2">
            <w:pPr>
              <w:rPr>
                <w:lang w:val="sr-Latn-RS"/>
              </w:rPr>
            </w:pPr>
            <w:r w:rsidRPr="008B495B"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6046B5" w:rsidRDefault="00A570F7" w:rsidP="006E7AF4">
            <w:pPr>
              <w:jc w:val="right"/>
              <w:rPr>
                <w:b/>
                <w:bCs/>
              </w:rPr>
            </w:pPr>
            <w:r>
              <w:rPr>
                <w:lang w:val="sr-Cyrl-CS"/>
              </w:rPr>
              <w:t>ISSN</w:t>
            </w:r>
            <w:r w:rsidR="00EF554A" w:rsidRPr="006046B5">
              <w:rPr>
                <w:lang w:val="sr-Cyrl-CS"/>
              </w:rPr>
              <w:t xml:space="preserve"> 0353-9555</w:t>
            </w:r>
          </w:p>
        </w:tc>
      </w:tr>
      <w:tr w:rsidR="00EF554A" w:rsidRPr="00845491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643ED7" w:rsidRDefault="00204857" w:rsidP="002338F2">
            <w:pPr>
              <w:rPr>
                <w:color w:val="808080"/>
                <w:lang w:val="sr-Latn-RS"/>
              </w:rPr>
            </w:pPr>
            <w:r w:rsidRPr="008B495B">
              <w:rPr>
                <w:b/>
                <w:bCs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A86745" w:rsidRDefault="00863BD0" w:rsidP="00A86745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ZS</w:t>
            </w:r>
            <w:r w:rsidR="00A86745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91</w:t>
            </w:r>
          </w:p>
        </w:tc>
      </w:tr>
      <w:tr w:rsidR="00EF554A" w:rsidRPr="006046B5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6046B5" w:rsidRDefault="00863BD0" w:rsidP="00175D07">
            <w:r w:rsidRPr="008B495B">
              <w:t>Number 307 - Year LXVII 20/11/2017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6046B5" w:rsidRDefault="00EF554A" w:rsidP="002338F2">
            <w:pPr>
              <w:jc w:val="right"/>
              <w:rPr>
                <w:b/>
                <w:bCs/>
                <w:sz w:val="48"/>
                <w:szCs w:val="48"/>
              </w:rPr>
            </w:pPr>
          </w:p>
        </w:tc>
      </w:tr>
      <w:tr w:rsidR="00EF554A" w:rsidRPr="00845491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A86745" w:rsidRDefault="00863BD0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E4EB4">
              <w:rPr>
                <w:b/>
                <w:bCs/>
                <w:sz w:val="24"/>
                <w:szCs w:val="24"/>
              </w:rPr>
              <w:t>Environmental statistical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175D07" w:rsidRDefault="00863BD0" w:rsidP="00175D07">
            <w:pPr>
              <w:jc w:val="right"/>
              <w:rPr>
                <w:b/>
                <w:bCs/>
                <w:lang w:val="sr-Cyrl-RS"/>
              </w:rPr>
            </w:pPr>
            <w:r>
              <w:rPr>
                <w:lang w:val="sr-Latn-RS"/>
              </w:rPr>
              <w:t>SRB</w:t>
            </w:r>
            <w:r w:rsidR="00523583" w:rsidRPr="000D32E9">
              <w:rPr>
                <w:lang w:val="sr-Latn-RS"/>
              </w:rPr>
              <w:t>30</w:t>
            </w:r>
            <w:r w:rsidR="00175D07" w:rsidRPr="000D32E9">
              <w:rPr>
                <w:lang w:val="sr-Latn-RS"/>
              </w:rPr>
              <w:t>7</w:t>
            </w:r>
            <w:r w:rsidR="001C53BD" w:rsidRPr="000D32E9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ZS</w:t>
            </w:r>
            <w:r w:rsidR="000D32E9" w:rsidRPr="000D32E9">
              <w:rPr>
                <w:lang w:val="sr-Latn-RS"/>
              </w:rPr>
              <w:t>91</w:t>
            </w:r>
            <w:r w:rsidR="00EF554A" w:rsidRPr="000D32E9">
              <w:rPr>
                <w:lang w:val="sr-Cyrl-CS"/>
              </w:rPr>
              <w:t xml:space="preserve"> </w:t>
            </w:r>
            <w:r w:rsidR="00FA5683" w:rsidRPr="000D32E9">
              <w:rPr>
                <w:lang w:val="sr-Latn-CS"/>
              </w:rPr>
              <w:t>2</w:t>
            </w:r>
            <w:r w:rsidR="00175D07" w:rsidRPr="000D32E9">
              <w:rPr>
                <w:lang w:val="sr-Cyrl-RS"/>
              </w:rPr>
              <w:t>0</w:t>
            </w:r>
            <w:r w:rsidR="00FA5683" w:rsidRPr="000D32E9">
              <w:rPr>
                <w:lang w:val="sr-Latn-CS"/>
              </w:rPr>
              <w:t>11</w:t>
            </w:r>
            <w:r w:rsidR="00EF554A" w:rsidRPr="000D32E9">
              <w:rPr>
                <w:lang w:val="sr-Cyrl-CS"/>
              </w:rPr>
              <w:t>1</w:t>
            </w:r>
            <w:r w:rsidR="00175D07" w:rsidRPr="000D32E9">
              <w:rPr>
                <w:lang w:val="sr-Cyrl-RS"/>
              </w:rPr>
              <w:t>7</w:t>
            </w:r>
          </w:p>
        </w:tc>
      </w:tr>
    </w:tbl>
    <w:p w:rsidR="00863BD0" w:rsidRPr="008B495B" w:rsidRDefault="00863BD0" w:rsidP="00204857">
      <w:pPr>
        <w:spacing w:before="960" w:after="360"/>
        <w:jc w:val="center"/>
        <w:outlineLvl w:val="0"/>
        <w:rPr>
          <w:b/>
          <w:bCs/>
          <w:sz w:val="24"/>
          <w:szCs w:val="24"/>
        </w:rPr>
      </w:pPr>
      <w:r w:rsidRPr="008B495B">
        <w:rPr>
          <w:b/>
          <w:bCs/>
          <w:sz w:val="24"/>
          <w:szCs w:val="24"/>
        </w:rPr>
        <w:t xml:space="preserve">Expenditures for environmental protection, 2016                                                                                       </w:t>
      </w:r>
    </w:p>
    <w:p w:rsidR="00863BD0" w:rsidRPr="008B495B" w:rsidRDefault="00863BD0" w:rsidP="00204857">
      <w:pPr>
        <w:spacing w:before="120" w:after="120" w:line="288" w:lineRule="auto"/>
        <w:ind w:firstLine="450"/>
        <w:jc w:val="both"/>
      </w:pPr>
      <w:r w:rsidRPr="008B495B">
        <w:t xml:space="preserve">In 2016, total expenditures for environmental protection amounted to RSD 35349.4 </w:t>
      </w:r>
      <w:proofErr w:type="gramStart"/>
      <w:r w:rsidRPr="008B495B">
        <w:rPr>
          <w:rStyle w:val="hps"/>
        </w:rPr>
        <w:t>mill</w:t>
      </w:r>
      <w:r w:rsidRPr="008B495B">
        <w:t>ion</w:t>
      </w:r>
      <w:proofErr w:type="gramEnd"/>
      <w:r w:rsidRPr="008B495B">
        <w:t xml:space="preserve">, </w:t>
      </w:r>
      <w:r w:rsidRPr="008B495B">
        <w:rPr>
          <w:rStyle w:val="hps"/>
        </w:rPr>
        <w:t>which</w:t>
      </w:r>
      <w:r w:rsidRPr="008B495B">
        <w:rPr>
          <w:rStyle w:val="shorttext"/>
        </w:rPr>
        <w:t xml:space="preserve"> </w:t>
      </w:r>
      <w:r w:rsidRPr="008B495B">
        <w:rPr>
          <w:rStyle w:val="hps"/>
        </w:rPr>
        <w:t>is by</w:t>
      </w:r>
      <w:r w:rsidRPr="008B495B">
        <w:rPr>
          <w:rStyle w:val="shorttext"/>
        </w:rPr>
        <w:t xml:space="preserve"> </w:t>
      </w:r>
      <w:r w:rsidRPr="008B495B">
        <w:rPr>
          <w:rStyle w:val="hps"/>
        </w:rPr>
        <w:t>1.5%</w:t>
      </w:r>
      <w:r w:rsidRPr="008B495B">
        <w:rPr>
          <w:rStyle w:val="shorttext"/>
        </w:rPr>
        <w:t xml:space="preserve"> </w:t>
      </w:r>
      <w:r w:rsidRPr="008B495B">
        <w:rPr>
          <w:rStyle w:val="hpsalt-edited"/>
        </w:rPr>
        <w:t>higher</w:t>
      </w:r>
      <w:r w:rsidRPr="008B495B">
        <w:rPr>
          <w:rStyle w:val="shorttext"/>
        </w:rPr>
        <w:t xml:space="preserve"> </w:t>
      </w:r>
      <w:r w:rsidRPr="008B495B">
        <w:rPr>
          <w:rStyle w:val="hps"/>
        </w:rPr>
        <w:t>than in the previous</w:t>
      </w:r>
      <w:r w:rsidRPr="008B495B">
        <w:rPr>
          <w:rStyle w:val="shorttext"/>
        </w:rPr>
        <w:t xml:space="preserve"> </w:t>
      </w:r>
      <w:r w:rsidRPr="008B495B">
        <w:rPr>
          <w:rStyle w:val="hps"/>
        </w:rPr>
        <w:t>year. Share of environmental protection investments</w:t>
      </w:r>
      <w:r w:rsidRPr="008B495B">
        <w:t xml:space="preserve"> </w:t>
      </w:r>
      <w:r w:rsidRPr="008B495B">
        <w:rPr>
          <w:rStyle w:val="hps"/>
        </w:rPr>
        <w:t>amounted to 36</w:t>
      </w:r>
      <w:r w:rsidRPr="008B495B">
        <w:t>.2%,</w:t>
      </w:r>
      <w:r w:rsidRPr="008B495B">
        <w:rPr>
          <w:rStyle w:val="hps"/>
        </w:rPr>
        <w:t xml:space="preserve"> while</w:t>
      </w:r>
      <w:r w:rsidRPr="008B495B">
        <w:t xml:space="preserve"> </w:t>
      </w:r>
      <w:r w:rsidRPr="008B495B">
        <w:rPr>
          <w:rStyle w:val="hps"/>
        </w:rPr>
        <w:t>current expenditures</w:t>
      </w:r>
      <w:r w:rsidRPr="008B495B">
        <w:t xml:space="preserve"> had the share of</w:t>
      </w:r>
      <w:r w:rsidRPr="008B495B">
        <w:rPr>
          <w:rStyle w:val="hps"/>
        </w:rPr>
        <w:t xml:space="preserve"> 63.8%.</w:t>
      </w:r>
      <w:r w:rsidRPr="008B495B">
        <w:t xml:space="preserve"> </w:t>
      </w:r>
    </w:p>
    <w:p w:rsidR="00863BD0" w:rsidRPr="008B495B" w:rsidRDefault="00863BD0" w:rsidP="00204857">
      <w:pPr>
        <w:spacing w:before="120" w:after="120" w:line="288" w:lineRule="auto"/>
        <w:ind w:firstLine="450"/>
        <w:jc w:val="both"/>
      </w:pPr>
      <w:r w:rsidRPr="008B495B">
        <w:t xml:space="preserve">Investments </w:t>
      </w:r>
      <w:r w:rsidRPr="008B495B">
        <w:rPr>
          <w:rStyle w:val="hps"/>
        </w:rPr>
        <w:t>for environmental protection in 2016 were</w:t>
      </w:r>
      <w:r w:rsidRPr="008B495B">
        <w:t xml:space="preserve"> by 4.2% higher than in 2015, while share of current expenditures remained on approximately the same level as in the previous year.</w:t>
      </w:r>
    </w:p>
    <w:p w:rsidR="00863BD0" w:rsidRPr="008B495B" w:rsidRDefault="00863BD0" w:rsidP="00204857">
      <w:pPr>
        <w:spacing w:before="120" w:after="120" w:line="288" w:lineRule="auto"/>
        <w:ind w:firstLine="397"/>
        <w:jc w:val="both"/>
      </w:pPr>
      <w:r w:rsidRPr="008B495B">
        <w:t xml:space="preserve">The greatest share in structure of environmental protection investments in 2016 related to air protection, and amounted to 41.7% (RSD 5337.1 mill). </w:t>
      </w:r>
    </w:p>
    <w:p w:rsidR="00863BD0" w:rsidRPr="008B495B" w:rsidRDefault="00863BD0" w:rsidP="00204857">
      <w:pPr>
        <w:spacing w:before="120" w:after="120" w:line="288" w:lineRule="auto"/>
        <w:ind w:firstLine="450"/>
        <w:jc w:val="both"/>
        <w:rPr>
          <w:rStyle w:val="hps"/>
        </w:rPr>
      </w:pPr>
      <w:r w:rsidRPr="008B495B">
        <w:rPr>
          <w:rStyle w:val="hps"/>
        </w:rPr>
        <w:t xml:space="preserve">Current expenditures for environmental protection in 2016 amounted to RSD 22544.4 mill, presenting the increase of RSD 10 mill, relative to the previous year. </w:t>
      </w:r>
    </w:p>
    <w:p w:rsidR="00863BD0" w:rsidRPr="008B495B" w:rsidRDefault="00863BD0" w:rsidP="00204857">
      <w:pPr>
        <w:spacing w:before="120" w:after="120" w:line="288" w:lineRule="auto"/>
        <w:ind w:firstLine="450"/>
        <w:jc w:val="both"/>
        <w:rPr>
          <w:rStyle w:val="hps"/>
        </w:rPr>
      </w:pPr>
      <w:r w:rsidRPr="008B495B">
        <w:rPr>
          <w:rStyle w:val="hps"/>
        </w:rPr>
        <w:t xml:space="preserve">The greatest share in structure of current environmental protection expenditures in 2016 related to waste management, and amounted to 68.9% (RSD 15522.7 mill.). </w:t>
      </w:r>
    </w:p>
    <w:p w:rsidR="00863BD0" w:rsidRPr="008B495B" w:rsidRDefault="00863BD0" w:rsidP="00204857">
      <w:pPr>
        <w:spacing w:before="120" w:after="120" w:line="288" w:lineRule="auto"/>
        <w:ind w:firstLine="397"/>
        <w:jc w:val="both"/>
      </w:pPr>
      <w:r w:rsidRPr="008B495B">
        <w:t>In the structure of environmental protection investments by industry</w:t>
      </w:r>
      <w:r w:rsidRPr="008B495B">
        <w:rPr>
          <w:vertAlign w:val="superscript"/>
        </w:rPr>
        <w:t>1)</w:t>
      </w:r>
      <w:r w:rsidRPr="008B495B">
        <w:t xml:space="preserve"> sections, share for prevention of environmental pollution amounted to 12.0% (RSD 1047.6 mill.), while investments for pollution treatment encompassed 88.0% (RSD 7712.6 mill.). </w:t>
      </w:r>
    </w:p>
    <w:p w:rsidR="0027099B" w:rsidRDefault="00863BD0" w:rsidP="00204857">
      <w:pPr>
        <w:spacing w:before="120" w:after="120" w:line="288" w:lineRule="auto"/>
        <w:ind w:firstLine="397"/>
        <w:jc w:val="both"/>
        <w:rPr>
          <w:lang w:val="sr-Cyrl-RS"/>
        </w:rPr>
      </w:pPr>
      <w:r w:rsidRPr="008B495B">
        <w:t xml:space="preserve">In 2016, share of environmental protection expenditures in Gross domestic product </w:t>
      </w:r>
      <w:proofErr w:type="spellStart"/>
      <w:r w:rsidRPr="008B495B">
        <w:t>equalled</w:t>
      </w:r>
      <w:proofErr w:type="spellEnd"/>
      <w:r w:rsidRPr="008B495B">
        <w:t xml:space="preserve"> 0.8%.</w:t>
      </w:r>
    </w:p>
    <w:p w:rsidR="000D32E9" w:rsidRDefault="000D32E9" w:rsidP="005D79E8">
      <w:pPr>
        <w:rPr>
          <w:sz w:val="16"/>
          <w:szCs w:val="16"/>
          <w:vertAlign w:val="superscript"/>
          <w:lang w:val="sr-Cyrl-CS"/>
        </w:rPr>
      </w:pPr>
    </w:p>
    <w:p w:rsidR="00204857" w:rsidRDefault="00204857" w:rsidP="005D79E8">
      <w:pPr>
        <w:rPr>
          <w:sz w:val="16"/>
          <w:szCs w:val="16"/>
          <w:vertAlign w:val="superscript"/>
          <w:lang w:val="sr-Cyrl-CS"/>
        </w:rPr>
      </w:pPr>
    </w:p>
    <w:p w:rsidR="000D32E9" w:rsidRDefault="00513623" w:rsidP="005D79E8">
      <w:pPr>
        <w:rPr>
          <w:sz w:val="14"/>
          <w:szCs w:val="14"/>
          <w:vertAlign w:val="superscript"/>
          <w:lang w:val="sr-Cyrl-CS"/>
        </w:rPr>
      </w:pPr>
      <w:r>
        <w:rPr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6435" cy="0"/>
                <wp:effectExtent l="13970" t="10795" r="1397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7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.15pt;width:54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gHAIAADo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J7jBTp&#10;oUVPe69jZDQL5RmMK8CqUlsbEqRH9WqeNf3ukNJVR1TLo/HbyYBvFjySdy7h4gwE2Q1fNAMbAvix&#10;VsfG9gESqoCOsSWna0v40SMKj/PFPJ8BNTqqElKMfsY6/5nrHgWhxM5bItrOV1op6Lu2WYxCDs/O&#10;B1akGB1CUKU3QsrYfqnQUOJZ9uk+OjgtBQvKYOZsu6ukRQcSBih+MUXQ3JpZvVcsgnWcsPVF9kTI&#10;swzBpQp4kBfQuUjnCfnxkD6sF+tFPsmn8/UkT+t68rSp8sl8A5TqWV1VdfYzUMvyohOMcRXYjdOa&#10;5X83DZe9Oc/ZdV6vZUjeo8d6AdnxH0nHxoZenqdip9lpa8eGw4BG48syhQ24vYN8u/KrXwAAAP//&#10;AwBQSwMEFAAGAAgAAAAhANVlTobYAAAABAEAAA8AAABkcnMvZG93bnJldi54bWxMj8FuwjAQRO+V&#10;+AdrkXorDkVFKGSDStWq4hjCB5h4G0eJ11HsQMrX1/TSHkczmnmT7SbbiQsNvnGMsFwkIIgrpxuu&#10;EU7lx9MGhA+KteocE8I3edjls4dMpdpduaDLMdQilrBPFYIJoU+l9JUhq/zC9cTR+3KDVSHKoZZ6&#10;UNdYbjv5nCRraVXDccGont4MVe1xtAjt6lYcWnN4v/l9KU8vZTHy5x7xcT69bkEEmsJfGO74ER3y&#10;yHR2I2svOoR4JCCsVyDuZrJZgjj/apln8j98/gMAAP//AwBQSwECLQAUAAYACAAAACEAtoM4kv4A&#10;AADhAQAAEwAAAAAAAAAAAAAAAAAAAAAAW0NvbnRlbnRfVHlwZXNdLnhtbFBLAQItABQABgAIAAAA&#10;IQA4/SH/1gAAAJQBAAALAAAAAAAAAAAAAAAAAC8BAABfcmVscy8ucmVsc1BLAQItABQABgAIAAAA&#10;IQDtlwjgHAIAADoEAAAOAAAAAAAAAAAAAAAAAC4CAABkcnMvZTJvRG9jLnhtbFBLAQItABQABgAI&#10;AAAAIQDVZU6G2AAAAAQBAAAPAAAAAAAAAAAAAAAAAHYEAABkcnMvZG93bnJldi54bWxQSwUGAAAA&#10;AAQABADzAAAAewUAAAAA&#10;" strokeweight=".25pt"/>
            </w:pict>
          </mc:Fallback>
        </mc:AlternateContent>
      </w:r>
    </w:p>
    <w:p w:rsidR="005D79E8" w:rsidRDefault="005D79E8" w:rsidP="005D79E8">
      <w:pPr>
        <w:rPr>
          <w:sz w:val="16"/>
          <w:szCs w:val="16"/>
          <w:vertAlign w:val="superscript"/>
        </w:rPr>
      </w:pPr>
      <w:r w:rsidRPr="00EE62A7">
        <w:rPr>
          <w:sz w:val="14"/>
          <w:szCs w:val="14"/>
          <w:vertAlign w:val="superscript"/>
          <w:lang w:val="sr-Cyrl-CS"/>
        </w:rPr>
        <w:t xml:space="preserve">1) </w:t>
      </w:r>
      <w:r w:rsidR="00863BD0" w:rsidRPr="008B495B">
        <w:rPr>
          <w:sz w:val="14"/>
          <w:szCs w:val="14"/>
        </w:rPr>
        <w:t>Industry sections by Classification of Activities: Mining and quarrying; Manufacturing; Electricity, gas, steam and air conditioning supply.</w:t>
      </w:r>
    </w:p>
    <w:p w:rsidR="00EC3833" w:rsidRDefault="00EC3833" w:rsidP="0037335D">
      <w:pPr>
        <w:ind w:firstLine="448"/>
        <w:jc w:val="both"/>
        <w:rPr>
          <w:noProof/>
          <w:color w:val="FF0000"/>
        </w:rPr>
      </w:pPr>
    </w:p>
    <w:p w:rsidR="00460D4D" w:rsidRDefault="00460D4D" w:rsidP="0037335D">
      <w:pPr>
        <w:ind w:firstLine="448"/>
        <w:jc w:val="both"/>
        <w:rPr>
          <w:noProof/>
          <w:color w:val="FF0000"/>
        </w:rPr>
      </w:pPr>
    </w:p>
    <w:p w:rsidR="00863BD0" w:rsidRDefault="00863BD0" w:rsidP="0037335D">
      <w:pPr>
        <w:ind w:firstLine="448"/>
        <w:jc w:val="both"/>
        <w:rPr>
          <w:noProof/>
          <w:color w:val="FF0000"/>
        </w:rPr>
      </w:pPr>
    </w:p>
    <w:p w:rsidR="00863BD0" w:rsidRDefault="00863BD0" w:rsidP="0037335D">
      <w:pPr>
        <w:ind w:firstLine="448"/>
        <w:jc w:val="both"/>
        <w:rPr>
          <w:noProof/>
          <w:color w:val="FF0000"/>
        </w:rPr>
      </w:pPr>
    </w:p>
    <w:p w:rsidR="00EC3833" w:rsidRDefault="00204857" w:rsidP="00076873">
      <w:pPr>
        <w:spacing w:before="120" w:after="120"/>
        <w:jc w:val="center"/>
        <w:rPr>
          <w:noProof/>
          <w:lang w:val="sr-Cyrl-RS"/>
        </w:rPr>
      </w:pPr>
      <w:r w:rsidRPr="00204857">
        <w:rPr>
          <w:noProof/>
        </w:rPr>
        <w:drawing>
          <wp:inline distT="0" distB="0" distL="0" distR="0">
            <wp:extent cx="3950335" cy="2517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D0" w:rsidRPr="004E4EB4" w:rsidRDefault="002460A5" w:rsidP="00863BD0">
      <w:pPr>
        <w:ind w:left="90"/>
        <w:jc w:val="center"/>
        <w:rPr>
          <w:b/>
        </w:rPr>
      </w:pPr>
      <w:r>
        <w:rPr>
          <w:b/>
          <w:bCs/>
          <w:highlight w:val="yellow"/>
          <w:lang w:val="sr-Cyrl-CS"/>
        </w:rPr>
        <w:br w:type="page"/>
      </w:r>
      <w:r w:rsidR="00863BD0" w:rsidRPr="004E4EB4">
        <w:rPr>
          <w:b/>
          <w:bCs/>
        </w:rPr>
        <w:lastRenderedPageBreak/>
        <w:t>1. Expenditures for environmental protection by activities</w:t>
      </w:r>
    </w:p>
    <w:p w:rsidR="00863BD0" w:rsidRPr="004E4EB4" w:rsidRDefault="00863BD0" w:rsidP="00863BD0">
      <w:pPr>
        <w:ind w:left="450"/>
        <w:rPr>
          <w:b/>
        </w:rPr>
      </w:pPr>
    </w:p>
    <w:p w:rsidR="00863BD0" w:rsidRPr="004E4EB4" w:rsidRDefault="00863BD0" w:rsidP="00863BD0">
      <w:pPr>
        <w:spacing w:after="4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4E4EB4">
        <w:rPr>
          <w:b/>
          <w:sz w:val="18"/>
          <w:szCs w:val="18"/>
        </w:rPr>
        <w:t xml:space="preserve">Republic of Serbia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9"/>
        <w:gridCol w:w="1418"/>
        <w:gridCol w:w="1418"/>
        <w:gridCol w:w="1418"/>
      </w:tblGrid>
      <w:tr w:rsidR="00863BD0" w:rsidRPr="004E4EB4" w:rsidTr="005821E3">
        <w:trPr>
          <w:trHeight w:val="20"/>
          <w:jc w:val="center"/>
        </w:trPr>
        <w:tc>
          <w:tcPr>
            <w:tcW w:w="45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BD0" w:rsidRPr="004E4EB4" w:rsidRDefault="00863BD0" w:rsidP="005821E3">
            <w:pPr>
              <w:spacing w:before="120" w:after="120"/>
              <w:jc w:val="center"/>
              <w:rPr>
                <w:sz w:val="16"/>
                <w:szCs w:val="16"/>
                <w:lang w:val="sr-Latn-RS"/>
              </w:rPr>
            </w:pPr>
            <w:r w:rsidRPr="004E4EB4">
              <w:rPr>
                <w:sz w:val="16"/>
                <w:szCs w:val="16"/>
              </w:rPr>
              <w:t>Total, RSD mill.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</w:rPr>
              <w:t>Share</w:t>
            </w:r>
            <w:r w:rsidRPr="004E4EB4">
              <w:rPr>
                <w:sz w:val="16"/>
                <w:szCs w:val="16"/>
                <w:lang w:val="sr-Latn-RS"/>
              </w:rPr>
              <w:t xml:space="preserve">, </w:t>
            </w:r>
            <w:r w:rsidRPr="004E4EB4">
              <w:rPr>
                <w:sz w:val="16"/>
                <w:szCs w:val="16"/>
                <w:lang w:val="sr-Cyrl-RS"/>
              </w:rPr>
              <w:t>%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BD0" w:rsidRPr="004E4EB4" w:rsidRDefault="00863BD0" w:rsidP="005821E3">
            <w:pPr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CS"/>
              </w:rPr>
              <w:t>201</w:t>
            </w:r>
            <w:r w:rsidRPr="004E4EB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BD0" w:rsidRPr="004E4EB4" w:rsidRDefault="00863BD0" w:rsidP="005821E3">
            <w:pPr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CS"/>
              </w:rPr>
              <w:t>201</w:t>
            </w:r>
            <w:r w:rsidRPr="004E4EB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BD0" w:rsidRPr="004E4EB4" w:rsidRDefault="00863BD0" w:rsidP="005821E3">
            <w:pPr>
              <w:spacing w:before="120" w:after="120"/>
              <w:jc w:val="center"/>
              <w:rPr>
                <w:sz w:val="16"/>
                <w:szCs w:val="16"/>
                <w:lang w:val="sr-Latn-RS"/>
              </w:rPr>
            </w:pPr>
            <w:r w:rsidRPr="004E4EB4">
              <w:rPr>
                <w:sz w:val="16"/>
                <w:szCs w:val="16"/>
                <w:lang w:val="sr-Cyrl-CS"/>
              </w:rPr>
              <w:t>2016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b/>
                <w:sz w:val="16"/>
                <w:szCs w:val="16"/>
              </w:rPr>
            </w:pPr>
            <w:r w:rsidRPr="004E4EB4">
              <w:rPr>
                <w:b/>
                <w:sz w:val="16"/>
                <w:szCs w:val="16"/>
              </w:rPr>
              <w:t>Expenditures for environmental protection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CS"/>
              </w:rPr>
            </w:pPr>
            <w:r w:rsidRPr="004E4EB4">
              <w:rPr>
                <w:b/>
                <w:sz w:val="16"/>
                <w:szCs w:val="16"/>
                <w:lang w:val="sr-Cyrl-CS"/>
              </w:rPr>
              <w:t>34826</w:t>
            </w:r>
            <w:r w:rsidR="00204857">
              <w:rPr>
                <w:b/>
                <w:sz w:val="16"/>
                <w:szCs w:val="16"/>
                <w:lang w:val="sr-Cyrl-CS"/>
              </w:rPr>
              <w:t>.</w:t>
            </w:r>
            <w:r w:rsidRPr="004E4EB4">
              <w:rPr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4E4EB4">
              <w:rPr>
                <w:b/>
                <w:sz w:val="16"/>
                <w:szCs w:val="16"/>
                <w:lang w:val="sr-Cyrl-RS"/>
              </w:rPr>
              <w:t>35349</w:t>
            </w:r>
            <w:r w:rsidR="00204857">
              <w:rPr>
                <w:b/>
                <w:sz w:val="16"/>
                <w:szCs w:val="16"/>
                <w:lang w:val="sr-Cyrl-RS"/>
              </w:rPr>
              <w:t>.</w:t>
            </w:r>
            <w:r w:rsidRPr="004E4EB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4E4EB4">
              <w:rPr>
                <w:b/>
                <w:sz w:val="16"/>
                <w:szCs w:val="16"/>
                <w:lang w:val="sr-Cyrl-RS"/>
              </w:rPr>
              <w:t>100</w:t>
            </w:r>
            <w:r w:rsidR="00204857">
              <w:rPr>
                <w:b/>
                <w:sz w:val="16"/>
                <w:szCs w:val="16"/>
              </w:rPr>
              <w:t>.</w:t>
            </w:r>
            <w:r w:rsidRPr="004E4EB4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Air protection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8517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5704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16</w:t>
            </w:r>
            <w:r w:rsidR="00204857">
              <w:rPr>
                <w:sz w:val="16"/>
                <w:szCs w:val="16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Wastewater management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4348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4420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12</w:t>
            </w:r>
            <w:r w:rsidR="00204857">
              <w:rPr>
                <w:sz w:val="16"/>
                <w:szCs w:val="16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Waste management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15309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19390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54</w:t>
            </w:r>
            <w:r w:rsidR="00204857">
              <w:rPr>
                <w:sz w:val="16"/>
                <w:szCs w:val="16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Other</w:t>
            </w:r>
            <w:r w:rsidRPr="004E4EB4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6650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5834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16</w:t>
            </w:r>
            <w:r w:rsidR="00204857">
              <w:rPr>
                <w:sz w:val="16"/>
                <w:szCs w:val="16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b/>
                <w:sz w:val="16"/>
                <w:szCs w:val="16"/>
              </w:rPr>
              <w:t>Investments for environmental protection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CS"/>
              </w:rPr>
            </w:pPr>
            <w:r w:rsidRPr="004E4EB4">
              <w:rPr>
                <w:b/>
                <w:sz w:val="16"/>
                <w:szCs w:val="16"/>
                <w:lang w:val="sr-Cyrl-CS"/>
              </w:rPr>
              <w:t>12292</w:t>
            </w:r>
            <w:r w:rsidR="00204857">
              <w:rPr>
                <w:b/>
                <w:sz w:val="16"/>
                <w:szCs w:val="16"/>
                <w:lang w:val="sr-Cyrl-CS"/>
              </w:rPr>
              <w:t>.</w:t>
            </w:r>
            <w:r w:rsidRPr="004E4EB4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4E4EB4">
              <w:rPr>
                <w:b/>
                <w:sz w:val="16"/>
                <w:szCs w:val="16"/>
                <w:lang w:val="sr-Cyrl-RS"/>
              </w:rPr>
              <w:t>12805</w:t>
            </w:r>
            <w:r w:rsidR="00204857">
              <w:rPr>
                <w:b/>
                <w:sz w:val="16"/>
                <w:szCs w:val="16"/>
                <w:lang w:val="sr-Cyrl-RS"/>
              </w:rPr>
              <w:t>.</w:t>
            </w:r>
            <w:r w:rsidRPr="004E4EB4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4E4EB4">
              <w:rPr>
                <w:b/>
                <w:sz w:val="16"/>
                <w:szCs w:val="16"/>
                <w:lang w:val="sr-Cyrl-RS"/>
              </w:rPr>
              <w:t>100</w:t>
            </w:r>
            <w:r w:rsidR="00204857">
              <w:rPr>
                <w:b/>
                <w:sz w:val="16"/>
                <w:szCs w:val="16"/>
                <w:lang w:val="sr-Cyrl-RS"/>
              </w:rPr>
              <w:t>.</w:t>
            </w:r>
            <w:r w:rsidRPr="004E4EB4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Air protection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7901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5337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41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7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Wastewater management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1294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1445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11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b/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Waste management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1639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3867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30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Other</w:t>
            </w:r>
            <w:r w:rsidRPr="004E4EB4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1457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2154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16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8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b/>
                <w:sz w:val="16"/>
                <w:szCs w:val="16"/>
              </w:rPr>
              <w:t>Current expenditures for environmental protection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CS"/>
              </w:rPr>
            </w:pPr>
            <w:r w:rsidRPr="004E4EB4">
              <w:rPr>
                <w:b/>
                <w:sz w:val="16"/>
                <w:szCs w:val="16"/>
                <w:lang w:val="sr-Cyrl-CS"/>
              </w:rPr>
              <w:t>22533</w:t>
            </w:r>
            <w:r w:rsidR="00204857">
              <w:rPr>
                <w:b/>
                <w:sz w:val="16"/>
                <w:szCs w:val="16"/>
                <w:lang w:val="sr-Cyrl-CS"/>
              </w:rPr>
              <w:t>.</w:t>
            </w:r>
            <w:r w:rsidRPr="004E4EB4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4E4EB4">
              <w:rPr>
                <w:b/>
                <w:sz w:val="16"/>
                <w:szCs w:val="16"/>
                <w:lang w:val="sr-Cyrl-RS"/>
              </w:rPr>
              <w:t>22544</w:t>
            </w:r>
            <w:r w:rsidR="00204857">
              <w:rPr>
                <w:b/>
                <w:sz w:val="16"/>
                <w:szCs w:val="16"/>
                <w:lang w:val="sr-Cyrl-RS"/>
              </w:rPr>
              <w:t>.</w:t>
            </w:r>
            <w:r w:rsidRPr="004E4EB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4E4EB4">
              <w:rPr>
                <w:b/>
                <w:sz w:val="16"/>
                <w:szCs w:val="16"/>
                <w:lang w:val="sr-Cyrl-RS"/>
              </w:rPr>
              <w:t>100</w:t>
            </w:r>
            <w:r w:rsidR="00204857">
              <w:rPr>
                <w:b/>
                <w:sz w:val="16"/>
                <w:szCs w:val="16"/>
                <w:lang w:val="sr-Cyrl-RS"/>
              </w:rPr>
              <w:t>.</w:t>
            </w:r>
            <w:r w:rsidRPr="004E4EB4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Air protection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615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367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Wastewater management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3054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2975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13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b/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Waste management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13670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15522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68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863BD0" w:rsidRPr="004E4EB4" w:rsidTr="005821E3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3BD0" w:rsidRPr="004E4EB4" w:rsidRDefault="00863BD0" w:rsidP="005821E3">
            <w:pPr>
              <w:spacing w:line="288" w:lineRule="auto"/>
              <w:rPr>
                <w:sz w:val="16"/>
                <w:szCs w:val="16"/>
              </w:rPr>
            </w:pPr>
            <w:r w:rsidRPr="004E4EB4">
              <w:rPr>
                <w:sz w:val="16"/>
                <w:szCs w:val="16"/>
              </w:rPr>
              <w:t>Other</w:t>
            </w:r>
            <w:r w:rsidRPr="004E4EB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 w:rsidRPr="004E4EB4">
              <w:rPr>
                <w:sz w:val="16"/>
                <w:szCs w:val="16"/>
                <w:lang w:val="sr-Cyrl-CS"/>
              </w:rPr>
              <w:t>5193</w:t>
            </w:r>
            <w:r w:rsidR="00204857">
              <w:rPr>
                <w:sz w:val="16"/>
                <w:szCs w:val="16"/>
                <w:lang w:val="sr-Cyrl-CS"/>
              </w:rPr>
              <w:t>.</w:t>
            </w:r>
            <w:r w:rsidRPr="004E4EB4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3679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BD0" w:rsidRPr="004E4EB4" w:rsidRDefault="00863BD0" w:rsidP="005821E3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4E4EB4">
              <w:rPr>
                <w:sz w:val="16"/>
                <w:szCs w:val="16"/>
                <w:lang w:val="sr-Cyrl-RS"/>
              </w:rPr>
              <w:t>16</w:t>
            </w:r>
            <w:r w:rsidR="00204857">
              <w:rPr>
                <w:sz w:val="16"/>
                <w:szCs w:val="16"/>
                <w:lang w:val="sr-Cyrl-RS"/>
              </w:rPr>
              <w:t>.</w:t>
            </w:r>
            <w:r w:rsidRPr="004E4EB4">
              <w:rPr>
                <w:sz w:val="16"/>
                <w:szCs w:val="16"/>
                <w:lang w:val="sr-Cyrl-RS"/>
              </w:rPr>
              <w:t>3</w:t>
            </w:r>
          </w:p>
        </w:tc>
      </w:tr>
    </w:tbl>
    <w:p w:rsidR="00863BD0" w:rsidRPr="004E4EB4" w:rsidRDefault="00863BD0" w:rsidP="00863BD0">
      <w:pPr>
        <w:ind w:left="360"/>
        <w:rPr>
          <w:sz w:val="14"/>
          <w:szCs w:val="14"/>
        </w:rPr>
      </w:pPr>
    </w:p>
    <w:p w:rsidR="00863BD0" w:rsidRPr="004E4EB4" w:rsidRDefault="00863BD0" w:rsidP="00863BD0">
      <w:pPr>
        <w:ind w:left="397" w:hanging="113"/>
        <w:rPr>
          <w:sz w:val="14"/>
          <w:szCs w:val="14"/>
          <w:vertAlign w:val="superscript"/>
          <w:lang w:val="sr-Cyrl-CS"/>
        </w:rPr>
      </w:pPr>
      <w:r w:rsidRPr="004E4EB4">
        <w:rPr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F5FA9" wp14:editId="2C85B628">
                <wp:simplePos x="0" y="0"/>
                <wp:positionH relativeFrom="column">
                  <wp:posOffset>400771</wp:posOffset>
                </wp:positionH>
                <wp:positionV relativeFrom="paragraph">
                  <wp:posOffset>23495</wp:posOffset>
                </wp:positionV>
                <wp:extent cx="628650" cy="0"/>
                <wp:effectExtent l="5715" t="508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ED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.55pt;margin-top:1.85pt;width:4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eAHAIAADo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nkYz2BcAVGV2trQID2qV/Os6XeHlK46oloeg99OBnKzkJG8SwkXZ6DIbviiGcQQwI+z&#10;Oja2D5AwBXSMkpyukvCjRxQ+zmeL+T0IR0dXQooxz1jnP3Pdo2CU2HlLRNv5SisFumubxSrk8Ox8&#10;YEWKMSEUVXojpIzyS4WGEt9ln+5jgtNSsOAMYc62u0padCBhgeIvtgie2zCr94pFsI4Ttr7Yngh5&#10;tqG4VAEP+gI6F+u8IT8e0of1Yr3IJ/lsvp7kaV1PnjZVPplvgFJ9V1dVnf0M1LK86ARjXAV247Zm&#10;+d9tw+XdnPfsuq/XMSTv0eO8gOz4H0lHYYOW563YaXba2lFwWNAYfHlM4QXc3sG+ffKrXwAAAP//&#10;AwBQSwMEFAAGAAgAAAAhAI7AmInZAAAABgEAAA8AAABkcnMvZG93bnJldi54bWxMjsFuwjAQRO+V&#10;+g/WInErDkRNqzQOKlVRxTGEDzDxEkeJ11HsQODrMb20x6cZzbxsPZmOnXFwjSUBy0UEDKmyqqFa&#10;wKHcvrwDc16Skp0lFHBFB+v8+SmTqbIXKvC89zULI+RSKUB736ecu0qjkW5he6SQnexgpA841FwN&#10;8hLGTcdXUZRwIxsKD1r2+KWxavejEdDGt2LX6t33zW1Kfngti5F+NkLMZ9PnBzCPk/8rw0M/qEMe&#10;nI52JOVYJyCJl6EpIH4D9oiTVeDjL/M84//18zsAAAD//wMAUEsBAi0AFAAGAAgAAAAhALaDOJL+&#10;AAAA4QEAABMAAAAAAAAAAAAAAAAAAAAAAFtDb250ZW50X1R5cGVzXS54bWxQSwECLQAUAAYACAAA&#10;ACEAOP0h/9YAAACUAQAACwAAAAAAAAAAAAAAAAAvAQAAX3JlbHMvLnJlbHNQSwECLQAUAAYACAAA&#10;ACEAo/dHgBwCAAA6BAAADgAAAAAAAAAAAAAAAAAuAgAAZHJzL2Uyb0RvYy54bWxQSwECLQAUAAYA&#10;CAAAACEAjsCYidkAAAAGAQAADwAAAAAAAAAAAAAAAAB2BAAAZHJzL2Rvd25yZXYueG1sUEsFBgAA&#10;AAAEAAQA8wAAAHwFAAAAAA==&#10;" strokeweight=".25pt"/>
            </w:pict>
          </mc:Fallback>
        </mc:AlternateContent>
      </w:r>
    </w:p>
    <w:p w:rsidR="00863BD0" w:rsidRPr="004E4EB4" w:rsidRDefault="00863BD0" w:rsidP="00863BD0">
      <w:pPr>
        <w:ind w:left="737" w:hanging="113"/>
        <w:rPr>
          <w:sz w:val="14"/>
          <w:szCs w:val="14"/>
        </w:rPr>
      </w:pPr>
      <w:r w:rsidRPr="004E4EB4">
        <w:rPr>
          <w:sz w:val="14"/>
          <w:szCs w:val="14"/>
          <w:vertAlign w:val="superscript"/>
          <w:lang w:val="sr-Cyrl-CS"/>
        </w:rPr>
        <w:t xml:space="preserve">2) </w:t>
      </w:r>
      <w:r w:rsidRPr="004E4EB4">
        <w:rPr>
          <w:sz w:val="14"/>
          <w:szCs w:val="14"/>
        </w:rPr>
        <w:t xml:space="preserve">Protection and remediation of land, underground and surface waters; noise and vibration protection; nature protection; other activities related </w:t>
      </w:r>
      <w:r>
        <w:rPr>
          <w:sz w:val="14"/>
          <w:szCs w:val="14"/>
        </w:rPr>
        <w:t xml:space="preserve">                           </w:t>
      </w:r>
      <w:r w:rsidRPr="004E4EB4">
        <w:rPr>
          <w:sz w:val="14"/>
          <w:szCs w:val="14"/>
        </w:rPr>
        <w:t xml:space="preserve">to environmental protection.    </w:t>
      </w:r>
    </w:p>
    <w:p w:rsidR="00863BD0" w:rsidRPr="004E4EB4" w:rsidRDefault="00863BD0" w:rsidP="00863BD0">
      <w:pPr>
        <w:rPr>
          <w:sz w:val="14"/>
          <w:szCs w:val="14"/>
        </w:rPr>
      </w:pPr>
    </w:p>
    <w:p w:rsidR="00863BD0" w:rsidRPr="004E4EB4" w:rsidRDefault="00863BD0" w:rsidP="00863BD0">
      <w:pPr>
        <w:rPr>
          <w:sz w:val="14"/>
          <w:szCs w:val="14"/>
        </w:rPr>
      </w:pPr>
    </w:p>
    <w:p w:rsidR="00863BD0" w:rsidRPr="004E4EB4" w:rsidRDefault="00863BD0" w:rsidP="00863BD0">
      <w:pPr>
        <w:rPr>
          <w:sz w:val="14"/>
          <w:szCs w:val="14"/>
        </w:rPr>
      </w:pPr>
    </w:p>
    <w:p w:rsidR="00863BD0" w:rsidRPr="004E4EB4" w:rsidRDefault="00863BD0" w:rsidP="00863BD0">
      <w:pPr>
        <w:rPr>
          <w:sz w:val="14"/>
          <w:szCs w:val="14"/>
        </w:rPr>
      </w:pPr>
      <w:bookmarkStart w:id="0" w:name="_GoBack"/>
      <w:bookmarkEnd w:id="0"/>
    </w:p>
    <w:p w:rsidR="00863BD0" w:rsidRPr="004E4EB4" w:rsidRDefault="00863BD0" w:rsidP="00863BD0">
      <w:pPr>
        <w:rPr>
          <w:sz w:val="14"/>
          <w:szCs w:val="14"/>
        </w:rPr>
      </w:pPr>
    </w:p>
    <w:p w:rsidR="00863BD0" w:rsidRPr="004E4EB4" w:rsidRDefault="00863BD0" w:rsidP="00863BD0">
      <w:pPr>
        <w:rPr>
          <w:sz w:val="14"/>
          <w:szCs w:val="14"/>
        </w:rPr>
      </w:pPr>
    </w:p>
    <w:p w:rsidR="00863BD0" w:rsidRPr="004E4EB4" w:rsidRDefault="00863BD0" w:rsidP="00863BD0">
      <w:pPr>
        <w:rPr>
          <w:sz w:val="16"/>
          <w:szCs w:val="16"/>
          <w:vertAlign w:val="superscript"/>
        </w:rPr>
      </w:pPr>
    </w:p>
    <w:p w:rsidR="00863BD0" w:rsidRPr="004E4EB4" w:rsidRDefault="00863BD0" w:rsidP="00863BD0">
      <w:pPr>
        <w:spacing w:before="120" w:after="120" w:line="288" w:lineRule="auto"/>
        <w:ind w:firstLine="397"/>
        <w:jc w:val="both"/>
      </w:pPr>
      <w:r w:rsidRPr="004E4EB4">
        <w:t xml:space="preserve">Methodological explanations on expenditures for environmental protection calculations </w:t>
      </w:r>
      <w:proofErr w:type="gramStart"/>
      <w:r w:rsidRPr="004E4EB4">
        <w:t>can be found</w:t>
      </w:r>
      <w:proofErr w:type="gramEnd"/>
      <w:r w:rsidRPr="004E4EB4">
        <w:t xml:space="preserve"> on SORS website (</w:t>
      </w:r>
      <w:hyperlink r:id="rId10" w:history="1">
        <w:r w:rsidRPr="004E4EB4">
          <w:rPr>
            <w:rStyle w:val="Hyperlink"/>
            <w:rFonts w:cs="Arial"/>
          </w:rPr>
          <w:t>http://webrzs.stat.gov.rs/WebSite/Public/PageView.aspx?pKey=64</w:t>
        </w:r>
      </w:hyperlink>
      <w:r w:rsidRPr="004E4EB4">
        <w:t>).</w:t>
      </w:r>
    </w:p>
    <w:p w:rsidR="00863BD0" w:rsidRPr="004E4EB4" w:rsidRDefault="00863BD0" w:rsidP="00863BD0">
      <w:pPr>
        <w:spacing w:before="120" w:after="120" w:line="288" w:lineRule="auto"/>
        <w:ind w:firstLine="397"/>
        <w:jc w:val="both"/>
      </w:pPr>
      <w:r w:rsidRPr="004E4EB4">
        <w:t xml:space="preserve">Series of data on investments and current expenditures for environmental protection and revenues from the environmental protection related activities are available on SORS website, in the database </w:t>
      </w:r>
      <w:hyperlink r:id="rId11" w:history="1">
        <w:r w:rsidRPr="004E4EB4">
          <w:rPr>
            <w:rStyle w:val="Hyperlink"/>
            <w:rFonts w:cs="Arial"/>
          </w:rPr>
          <w:t>http://webrzs.stat.gov.rs/WebSite/public/ReportView.aspx</w:t>
        </w:r>
      </w:hyperlink>
      <w:r w:rsidRPr="004E4EB4">
        <w:t>.</w:t>
      </w:r>
    </w:p>
    <w:p w:rsidR="00863BD0" w:rsidRPr="004E4EB4" w:rsidRDefault="00863BD0" w:rsidP="00863BD0">
      <w:pPr>
        <w:spacing w:before="120" w:after="120" w:line="288" w:lineRule="auto"/>
        <w:ind w:firstLine="397"/>
        <w:jc w:val="both"/>
      </w:pPr>
      <w:r w:rsidRPr="004E4EB4">
        <w:t xml:space="preserve">Starting from 1999 the Statistical Office of the Republic of Serbia has not at disposal and may not provide available certain data relative to AP Kosovo and </w:t>
      </w:r>
      <w:proofErr w:type="spellStart"/>
      <w:r w:rsidRPr="004E4EB4">
        <w:t>Metohija</w:t>
      </w:r>
      <w:proofErr w:type="spellEnd"/>
      <w:r w:rsidRPr="004E4EB4">
        <w:t xml:space="preserve"> and therefore these data are not included in the coverage for the Republic of Serbia (total).</w:t>
      </w:r>
    </w:p>
    <w:p w:rsidR="00EE62A7" w:rsidRDefault="00EE62A7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p w:rsidR="00863BD0" w:rsidRDefault="00863BD0" w:rsidP="00CE5D0F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595959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E62A7" w:rsidRPr="00212808" w:rsidTr="00212808">
        <w:trPr>
          <w:jc w:val="center"/>
        </w:trPr>
        <w:tc>
          <w:tcPr>
            <w:tcW w:w="8505" w:type="dxa"/>
            <w:shd w:val="clear" w:color="auto" w:fill="auto"/>
          </w:tcPr>
          <w:p w:rsidR="00863BD0" w:rsidRPr="008B495B" w:rsidRDefault="00863BD0" w:rsidP="00863BD0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8B495B">
              <w:rPr>
                <w:color w:val="000000"/>
                <w:sz w:val="18"/>
                <w:szCs w:val="18"/>
              </w:rPr>
              <w:t xml:space="preserve">Contact: </w:t>
            </w:r>
            <w:r w:rsidRPr="008B495B">
              <w:rPr>
                <w:color w:val="0000FF"/>
                <w:sz w:val="18"/>
                <w:szCs w:val="18"/>
              </w:rPr>
              <w:t xml:space="preserve">dusanka.dostanic@stat.gov.rs and </w:t>
            </w:r>
            <w:proofErr w:type="spellStart"/>
            <w:r w:rsidRPr="008B495B">
              <w:rPr>
                <w:color w:val="0000FF"/>
                <w:sz w:val="18"/>
                <w:szCs w:val="18"/>
              </w:rPr>
              <w:t>milos.radojkovic</w:t>
            </w:r>
            <w:proofErr w:type="spellEnd"/>
            <w:r w:rsidRPr="008B495B">
              <w:rPr>
                <w:color w:val="0000FF"/>
                <w:sz w:val="18"/>
                <w:szCs w:val="18"/>
              </w:rPr>
              <w:t xml:space="preserve">. </w:t>
            </w:r>
            <w:r w:rsidRPr="008B495B">
              <w:rPr>
                <w:color w:val="000000"/>
                <w:sz w:val="18"/>
                <w:szCs w:val="18"/>
              </w:rPr>
              <w:t>Phone: +381 11 2390-050</w:t>
            </w:r>
          </w:p>
          <w:p w:rsidR="00863BD0" w:rsidRPr="008B495B" w:rsidRDefault="00863BD0" w:rsidP="00863BD0">
            <w:pPr>
              <w:jc w:val="center"/>
              <w:rPr>
                <w:iCs/>
                <w:sz w:val="18"/>
                <w:szCs w:val="18"/>
              </w:rPr>
            </w:pPr>
            <w:r w:rsidRPr="008B495B">
              <w:rPr>
                <w:iCs/>
                <w:sz w:val="18"/>
                <w:szCs w:val="18"/>
              </w:rPr>
              <w:t xml:space="preserve">Published and printed by: Statistical Office of the Republic of Serbia, 11 050 Belgrade, </w:t>
            </w:r>
            <w:proofErr w:type="spellStart"/>
            <w:r w:rsidRPr="008B495B">
              <w:rPr>
                <w:iCs/>
                <w:sz w:val="18"/>
                <w:szCs w:val="18"/>
              </w:rPr>
              <w:t>Milana</w:t>
            </w:r>
            <w:proofErr w:type="spellEnd"/>
            <w:r w:rsidRPr="008B495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B495B">
              <w:rPr>
                <w:iCs/>
                <w:sz w:val="18"/>
                <w:szCs w:val="18"/>
              </w:rPr>
              <w:t>Rakica</w:t>
            </w:r>
            <w:proofErr w:type="spellEnd"/>
            <w:r w:rsidRPr="008B495B">
              <w:rPr>
                <w:iCs/>
                <w:sz w:val="18"/>
                <w:szCs w:val="18"/>
              </w:rPr>
              <w:t xml:space="preserve"> 5</w:t>
            </w:r>
          </w:p>
          <w:p w:rsidR="00863BD0" w:rsidRPr="008B495B" w:rsidRDefault="00863BD0" w:rsidP="00863BD0">
            <w:pPr>
              <w:jc w:val="center"/>
              <w:rPr>
                <w:iCs/>
                <w:sz w:val="18"/>
                <w:szCs w:val="18"/>
              </w:rPr>
            </w:pPr>
            <w:r w:rsidRPr="008B495B">
              <w:rPr>
                <w:iCs/>
                <w:sz w:val="18"/>
                <w:szCs w:val="18"/>
              </w:rPr>
              <w:t xml:space="preserve">Phone: +381 11 2412922 </w:t>
            </w:r>
            <w:r w:rsidRPr="008B495B">
              <w:rPr>
                <w:sz w:val="18"/>
                <w:szCs w:val="18"/>
              </w:rPr>
              <w:t>(telephone exchange)</w:t>
            </w:r>
            <w:r w:rsidRPr="008B495B">
              <w:t xml:space="preserve"> </w:t>
            </w:r>
            <w:r w:rsidRPr="008B495B">
              <w:rPr>
                <w:iCs/>
                <w:sz w:val="18"/>
                <w:szCs w:val="18"/>
              </w:rPr>
              <w:t xml:space="preserve">● Fax: +381 11 2411260 ● www.stat.gov.rs  </w:t>
            </w:r>
          </w:p>
          <w:p w:rsidR="00863BD0" w:rsidRPr="008B495B" w:rsidRDefault="00863BD0" w:rsidP="00863BD0">
            <w:pPr>
              <w:jc w:val="center"/>
              <w:rPr>
                <w:iCs/>
                <w:sz w:val="18"/>
                <w:szCs w:val="18"/>
              </w:rPr>
            </w:pPr>
            <w:r w:rsidRPr="008B495B">
              <w:rPr>
                <w:iCs/>
                <w:sz w:val="18"/>
                <w:szCs w:val="18"/>
              </w:rPr>
              <w:t xml:space="preserve">Responsible: </w:t>
            </w:r>
            <w:proofErr w:type="spellStart"/>
            <w:r w:rsidRPr="008B495B">
              <w:rPr>
                <w:iCs/>
                <w:sz w:val="18"/>
                <w:szCs w:val="18"/>
              </w:rPr>
              <w:t>Dr</w:t>
            </w:r>
            <w:proofErr w:type="spellEnd"/>
            <w:r w:rsidRPr="008B495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B495B">
              <w:rPr>
                <w:iCs/>
                <w:sz w:val="18"/>
                <w:szCs w:val="18"/>
              </w:rPr>
              <w:t>Miladin</w:t>
            </w:r>
            <w:proofErr w:type="spellEnd"/>
            <w:r w:rsidRPr="008B495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B495B">
              <w:rPr>
                <w:iCs/>
                <w:sz w:val="18"/>
                <w:szCs w:val="18"/>
              </w:rPr>
              <w:t>Kovačević</w:t>
            </w:r>
            <w:proofErr w:type="spellEnd"/>
            <w:r w:rsidRPr="008B495B">
              <w:rPr>
                <w:iCs/>
                <w:sz w:val="18"/>
                <w:szCs w:val="18"/>
              </w:rPr>
              <w:t>, Director</w:t>
            </w:r>
          </w:p>
          <w:p w:rsidR="00EE62A7" w:rsidRPr="00212808" w:rsidRDefault="00863BD0" w:rsidP="00863BD0">
            <w:pPr>
              <w:jc w:val="center"/>
              <w:rPr>
                <w:sz w:val="18"/>
                <w:szCs w:val="18"/>
              </w:rPr>
            </w:pPr>
            <w:r w:rsidRPr="008B495B">
              <w:rPr>
                <w:color w:val="000000"/>
                <w:sz w:val="18"/>
                <w:szCs w:val="18"/>
              </w:rPr>
              <w:t>Circulation: 20 ● Issued annually</w:t>
            </w:r>
          </w:p>
        </w:tc>
      </w:tr>
    </w:tbl>
    <w:p w:rsidR="00CE5D0F" w:rsidRDefault="00CE5D0F" w:rsidP="00CE5D0F">
      <w:pPr>
        <w:jc w:val="center"/>
        <w:rPr>
          <w:sz w:val="18"/>
          <w:szCs w:val="18"/>
        </w:rPr>
      </w:pPr>
    </w:p>
    <w:sectPr w:rsidR="00CE5D0F" w:rsidSect="0031163C">
      <w:footerReference w:type="even" r:id="rId12"/>
      <w:footerReference w:type="default" r:id="rId13"/>
      <w:pgSz w:w="11907" w:h="16840" w:code="9"/>
      <w:pgMar w:top="907" w:right="90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8B" w:rsidRDefault="00F0488B">
      <w:r>
        <w:separator/>
      </w:r>
    </w:p>
  </w:endnote>
  <w:endnote w:type="continuationSeparator" w:id="0">
    <w:p w:rsidR="00F0488B" w:rsidRDefault="00F0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37"/>
      <w:gridCol w:w="5056"/>
    </w:tblGrid>
    <w:tr w:rsidR="00493CD5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CD5" w:rsidRPr="00AF23FB" w:rsidRDefault="00493CD5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204857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  <w:r w:rsidR="00845491">
            <w:rPr>
              <w:sz w:val="16"/>
              <w:szCs w:val="16"/>
            </w:rPr>
            <w:t xml:space="preserve">             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845491" w:rsidRPr="008015EB" w:rsidRDefault="00845491" w:rsidP="00863BD0">
          <w:pPr>
            <w:spacing w:before="120"/>
            <w:jc w:val="right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</w:rPr>
            <w:t xml:space="preserve">                                                                       </w:t>
          </w:r>
          <w:r w:rsidR="00863BD0">
            <w:rPr>
              <w:sz w:val="16"/>
              <w:szCs w:val="16"/>
            </w:rPr>
            <w:t>SRB</w:t>
          </w:r>
          <w:r w:rsidR="00523583">
            <w:rPr>
              <w:sz w:val="16"/>
              <w:szCs w:val="16"/>
            </w:rPr>
            <w:t>30</w:t>
          </w:r>
          <w:r w:rsidR="00175D07">
            <w:rPr>
              <w:sz w:val="16"/>
              <w:szCs w:val="16"/>
            </w:rPr>
            <w:t>7</w:t>
          </w:r>
          <w:r>
            <w:rPr>
              <w:sz w:val="16"/>
              <w:szCs w:val="16"/>
              <w:lang w:val="sr-Latn-CS"/>
            </w:rPr>
            <w:t xml:space="preserve"> </w:t>
          </w:r>
          <w:r w:rsidR="00863BD0">
            <w:rPr>
              <w:sz w:val="16"/>
              <w:szCs w:val="16"/>
              <w:lang w:val="sr-Latn-CS"/>
            </w:rPr>
            <w:t>ZS91</w:t>
          </w:r>
          <w:r w:rsidR="00493CD5" w:rsidRPr="00AF23FB">
            <w:rPr>
              <w:sz w:val="16"/>
              <w:szCs w:val="16"/>
              <w:lang w:val="sr-Cyrl-CS"/>
            </w:rPr>
            <w:t xml:space="preserve"> </w:t>
          </w:r>
          <w:r w:rsidR="007513E5">
            <w:rPr>
              <w:sz w:val="16"/>
              <w:szCs w:val="16"/>
              <w:lang w:val="sr-Latn-CS"/>
            </w:rPr>
            <w:t>2</w:t>
          </w:r>
          <w:r w:rsidR="00175D07">
            <w:rPr>
              <w:sz w:val="16"/>
              <w:szCs w:val="16"/>
              <w:lang w:val="sr-Latn-CS"/>
            </w:rPr>
            <w:t>0</w:t>
          </w:r>
          <w:r w:rsidR="007513E5">
            <w:rPr>
              <w:sz w:val="16"/>
              <w:szCs w:val="16"/>
              <w:lang w:val="sr-Latn-CS"/>
            </w:rPr>
            <w:t>11</w:t>
          </w:r>
          <w:r>
            <w:rPr>
              <w:sz w:val="16"/>
              <w:szCs w:val="16"/>
              <w:lang w:val="sr-Cyrl-CS"/>
            </w:rPr>
            <w:t>1</w:t>
          </w:r>
          <w:r w:rsidR="00175D07">
            <w:rPr>
              <w:sz w:val="16"/>
              <w:szCs w:val="16"/>
              <w:lang w:val="sr-Latn-RS"/>
            </w:rPr>
            <w:t>7</w:t>
          </w:r>
        </w:p>
      </w:tc>
    </w:tr>
  </w:tbl>
  <w:p w:rsidR="00493CD5" w:rsidRPr="005C58EB" w:rsidRDefault="00493CD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55"/>
      <w:gridCol w:w="5038"/>
    </w:tblGrid>
    <w:tr w:rsidR="00493CD5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493CD5" w:rsidRPr="00AF23FB" w:rsidRDefault="00493CD5" w:rsidP="00B22014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 w:rsidR="00B22014">
            <w:rPr>
              <w:sz w:val="16"/>
              <w:szCs w:val="16"/>
              <w:lang w:val="sr-Cyrl-RS"/>
            </w:rPr>
            <w:t>306</w:t>
          </w:r>
          <w:r>
            <w:rPr>
              <w:sz w:val="16"/>
              <w:szCs w:val="16"/>
              <w:lang w:val="sr-Cyrl-CS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>НР</w:t>
          </w:r>
          <w:r w:rsidR="00B22014">
            <w:rPr>
              <w:sz w:val="16"/>
              <w:szCs w:val="16"/>
              <w:lang w:val="sr-Cyrl-CS"/>
            </w:rPr>
            <w:t>5</w:t>
          </w:r>
          <w:r w:rsidRPr="00AF23FB">
            <w:rPr>
              <w:sz w:val="16"/>
              <w:szCs w:val="16"/>
              <w:lang w:val="sr-Cyrl-CS"/>
            </w:rPr>
            <w:t xml:space="preserve">0 </w:t>
          </w:r>
          <w:r w:rsidR="00B22014">
            <w:rPr>
              <w:sz w:val="16"/>
              <w:szCs w:val="16"/>
              <w:lang w:val="sr-Cyrl-CS"/>
            </w:rPr>
            <w:t>201115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493CD5" w:rsidRPr="00AF23FB" w:rsidRDefault="00493CD5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863BD0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493CD5" w:rsidRPr="005C58EB" w:rsidRDefault="00493CD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8B" w:rsidRDefault="00F0488B">
      <w:r>
        <w:separator/>
      </w:r>
    </w:p>
  </w:footnote>
  <w:footnote w:type="continuationSeparator" w:id="0">
    <w:p w:rsidR="00F0488B" w:rsidRDefault="00F0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071"/>
    <w:rsid w:val="000034A9"/>
    <w:rsid w:val="000034E4"/>
    <w:rsid w:val="000049E7"/>
    <w:rsid w:val="000053A6"/>
    <w:rsid w:val="00007FBD"/>
    <w:rsid w:val="00013950"/>
    <w:rsid w:val="0001599D"/>
    <w:rsid w:val="00017AE7"/>
    <w:rsid w:val="00021C9B"/>
    <w:rsid w:val="00023215"/>
    <w:rsid w:val="00023B4C"/>
    <w:rsid w:val="000261BF"/>
    <w:rsid w:val="000267D7"/>
    <w:rsid w:val="0003083D"/>
    <w:rsid w:val="00034AEC"/>
    <w:rsid w:val="0004045B"/>
    <w:rsid w:val="00040BA0"/>
    <w:rsid w:val="000439EE"/>
    <w:rsid w:val="00043FF5"/>
    <w:rsid w:val="000443BC"/>
    <w:rsid w:val="00044AD5"/>
    <w:rsid w:val="00046A38"/>
    <w:rsid w:val="000471FF"/>
    <w:rsid w:val="00055943"/>
    <w:rsid w:val="00057A0F"/>
    <w:rsid w:val="00060D51"/>
    <w:rsid w:val="00063B99"/>
    <w:rsid w:val="000664C2"/>
    <w:rsid w:val="00066F42"/>
    <w:rsid w:val="00067EB3"/>
    <w:rsid w:val="00073936"/>
    <w:rsid w:val="000748B0"/>
    <w:rsid w:val="00075881"/>
    <w:rsid w:val="000766D4"/>
    <w:rsid w:val="00076873"/>
    <w:rsid w:val="000803DD"/>
    <w:rsid w:val="00087B68"/>
    <w:rsid w:val="0009529F"/>
    <w:rsid w:val="000A2DB5"/>
    <w:rsid w:val="000A48A2"/>
    <w:rsid w:val="000A6A3B"/>
    <w:rsid w:val="000B2C58"/>
    <w:rsid w:val="000B3802"/>
    <w:rsid w:val="000C1BE1"/>
    <w:rsid w:val="000C1DD3"/>
    <w:rsid w:val="000C4CBC"/>
    <w:rsid w:val="000C784B"/>
    <w:rsid w:val="000C7ABF"/>
    <w:rsid w:val="000C7CC4"/>
    <w:rsid w:val="000D2620"/>
    <w:rsid w:val="000D32E9"/>
    <w:rsid w:val="000D4726"/>
    <w:rsid w:val="000D53E2"/>
    <w:rsid w:val="000D6957"/>
    <w:rsid w:val="000D7A37"/>
    <w:rsid w:val="000E0B38"/>
    <w:rsid w:val="000E1208"/>
    <w:rsid w:val="000E1739"/>
    <w:rsid w:val="000E4058"/>
    <w:rsid w:val="000E457C"/>
    <w:rsid w:val="000E4DEF"/>
    <w:rsid w:val="000F4AF7"/>
    <w:rsid w:val="000F57B1"/>
    <w:rsid w:val="0010039D"/>
    <w:rsid w:val="001034CA"/>
    <w:rsid w:val="001057A8"/>
    <w:rsid w:val="00110976"/>
    <w:rsid w:val="00110F39"/>
    <w:rsid w:val="001148A4"/>
    <w:rsid w:val="00120DC5"/>
    <w:rsid w:val="001245F5"/>
    <w:rsid w:val="00124E8D"/>
    <w:rsid w:val="00130CE3"/>
    <w:rsid w:val="00130D77"/>
    <w:rsid w:val="00132AB5"/>
    <w:rsid w:val="00133AC4"/>
    <w:rsid w:val="0014018B"/>
    <w:rsid w:val="001417E5"/>
    <w:rsid w:val="00146F50"/>
    <w:rsid w:val="00151D72"/>
    <w:rsid w:val="00155E60"/>
    <w:rsid w:val="001577B8"/>
    <w:rsid w:val="00160D2D"/>
    <w:rsid w:val="00161C21"/>
    <w:rsid w:val="00161D65"/>
    <w:rsid w:val="00162FC7"/>
    <w:rsid w:val="0016393C"/>
    <w:rsid w:val="00163ABD"/>
    <w:rsid w:val="00165B24"/>
    <w:rsid w:val="00167D23"/>
    <w:rsid w:val="00172BA5"/>
    <w:rsid w:val="00174C07"/>
    <w:rsid w:val="00174E1D"/>
    <w:rsid w:val="00175CCA"/>
    <w:rsid w:val="00175D07"/>
    <w:rsid w:val="00175E04"/>
    <w:rsid w:val="00176BA3"/>
    <w:rsid w:val="00177684"/>
    <w:rsid w:val="00180434"/>
    <w:rsid w:val="001809CA"/>
    <w:rsid w:val="0018121E"/>
    <w:rsid w:val="0018679C"/>
    <w:rsid w:val="00191987"/>
    <w:rsid w:val="00194F9C"/>
    <w:rsid w:val="0019546C"/>
    <w:rsid w:val="00196304"/>
    <w:rsid w:val="001A2928"/>
    <w:rsid w:val="001A305E"/>
    <w:rsid w:val="001A3FF7"/>
    <w:rsid w:val="001A5008"/>
    <w:rsid w:val="001A77B5"/>
    <w:rsid w:val="001B1519"/>
    <w:rsid w:val="001B1F89"/>
    <w:rsid w:val="001B2E96"/>
    <w:rsid w:val="001B376E"/>
    <w:rsid w:val="001B416B"/>
    <w:rsid w:val="001B4B42"/>
    <w:rsid w:val="001C080E"/>
    <w:rsid w:val="001C094C"/>
    <w:rsid w:val="001C0DC6"/>
    <w:rsid w:val="001C19D0"/>
    <w:rsid w:val="001C23EB"/>
    <w:rsid w:val="001C31AD"/>
    <w:rsid w:val="001C3719"/>
    <w:rsid w:val="001C38FC"/>
    <w:rsid w:val="001C53BD"/>
    <w:rsid w:val="001D23DB"/>
    <w:rsid w:val="001E008D"/>
    <w:rsid w:val="001E0342"/>
    <w:rsid w:val="001E2578"/>
    <w:rsid w:val="001E665F"/>
    <w:rsid w:val="001F2E55"/>
    <w:rsid w:val="001F3ABF"/>
    <w:rsid w:val="001F6480"/>
    <w:rsid w:val="002002E6"/>
    <w:rsid w:val="00201EC0"/>
    <w:rsid w:val="00204857"/>
    <w:rsid w:val="00205188"/>
    <w:rsid w:val="00205B73"/>
    <w:rsid w:val="00210AC6"/>
    <w:rsid w:val="00212808"/>
    <w:rsid w:val="00214D2C"/>
    <w:rsid w:val="00220ABD"/>
    <w:rsid w:val="00225696"/>
    <w:rsid w:val="00233606"/>
    <w:rsid w:val="002338F2"/>
    <w:rsid w:val="00233D2F"/>
    <w:rsid w:val="00237399"/>
    <w:rsid w:val="00243857"/>
    <w:rsid w:val="00244503"/>
    <w:rsid w:val="00246009"/>
    <w:rsid w:val="002460A5"/>
    <w:rsid w:val="00246177"/>
    <w:rsid w:val="00247186"/>
    <w:rsid w:val="00254875"/>
    <w:rsid w:val="00256318"/>
    <w:rsid w:val="00256399"/>
    <w:rsid w:val="002577D1"/>
    <w:rsid w:val="00266953"/>
    <w:rsid w:val="0027099B"/>
    <w:rsid w:val="00270CA6"/>
    <w:rsid w:val="002714E6"/>
    <w:rsid w:val="00275D4F"/>
    <w:rsid w:val="00277662"/>
    <w:rsid w:val="00277F75"/>
    <w:rsid w:val="002806DC"/>
    <w:rsid w:val="002814A0"/>
    <w:rsid w:val="002826B6"/>
    <w:rsid w:val="00284F57"/>
    <w:rsid w:val="00285A7E"/>
    <w:rsid w:val="00285B0F"/>
    <w:rsid w:val="0028769D"/>
    <w:rsid w:val="0029008C"/>
    <w:rsid w:val="002961F4"/>
    <w:rsid w:val="002973A2"/>
    <w:rsid w:val="002A3110"/>
    <w:rsid w:val="002A7A06"/>
    <w:rsid w:val="002B01FB"/>
    <w:rsid w:val="002B54CB"/>
    <w:rsid w:val="002B7024"/>
    <w:rsid w:val="002C2C17"/>
    <w:rsid w:val="002C4EC4"/>
    <w:rsid w:val="002C6218"/>
    <w:rsid w:val="002D6BA4"/>
    <w:rsid w:val="002E2049"/>
    <w:rsid w:val="002E619E"/>
    <w:rsid w:val="002E67FE"/>
    <w:rsid w:val="002E7BD2"/>
    <w:rsid w:val="002F1F25"/>
    <w:rsid w:val="002F3B5A"/>
    <w:rsid w:val="002F575B"/>
    <w:rsid w:val="002F723C"/>
    <w:rsid w:val="002F7471"/>
    <w:rsid w:val="003014F9"/>
    <w:rsid w:val="00303366"/>
    <w:rsid w:val="0030344F"/>
    <w:rsid w:val="00305331"/>
    <w:rsid w:val="0031163C"/>
    <w:rsid w:val="0031664D"/>
    <w:rsid w:val="00334507"/>
    <w:rsid w:val="00337626"/>
    <w:rsid w:val="00341AE4"/>
    <w:rsid w:val="00345F38"/>
    <w:rsid w:val="00346534"/>
    <w:rsid w:val="003472A6"/>
    <w:rsid w:val="00357146"/>
    <w:rsid w:val="0036003E"/>
    <w:rsid w:val="003620E3"/>
    <w:rsid w:val="00362392"/>
    <w:rsid w:val="00362875"/>
    <w:rsid w:val="0036561A"/>
    <w:rsid w:val="00367ABC"/>
    <w:rsid w:val="003712D8"/>
    <w:rsid w:val="0037335D"/>
    <w:rsid w:val="00374EB9"/>
    <w:rsid w:val="00377573"/>
    <w:rsid w:val="003778DB"/>
    <w:rsid w:val="00377EA2"/>
    <w:rsid w:val="0038067D"/>
    <w:rsid w:val="00380AD2"/>
    <w:rsid w:val="003811AA"/>
    <w:rsid w:val="00382772"/>
    <w:rsid w:val="003868DB"/>
    <w:rsid w:val="00386CE6"/>
    <w:rsid w:val="003870B9"/>
    <w:rsid w:val="00390467"/>
    <w:rsid w:val="00390972"/>
    <w:rsid w:val="00392B6B"/>
    <w:rsid w:val="003948EC"/>
    <w:rsid w:val="00395898"/>
    <w:rsid w:val="00395B71"/>
    <w:rsid w:val="003A2F46"/>
    <w:rsid w:val="003A742D"/>
    <w:rsid w:val="003B2E9E"/>
    <w:rsid w:val="003B3064"/>
    <w:rsid w:val="003B602E"/>
    <w:rsid w:val="003C08A8"/>
    <w:rsid w:val="003C4653"/>
    <w:rsid w:val="003C4EB0"/>
    <w:rsid w:val="003C52A9"/>
    <w:rsid w:val="003C6D85"/>
    <w:rsid w:val="003D37B1"/>
    <w:rsid w:val="003D4FFC"/>
    <w:rsid w:val="003D685B"/>
    <w:rsid w:val="003E06F2"/>
    <w:rsid w:val="003E23E7"/>
    <w:rsid w:val="003E3C34"/>
    <w:rsid w:val="003E6600"/>
    <w:rsid w:val="003F120F"/>
    <w:rsid w:val="003F3CB9"/>
    <w:rsid w:val="00400BED"/>
    <w:rsid w:val="00403A1C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1C2C"/>
    <w:rsid w:val="00423590"/>
    <w:rsid w:val="0043154C"/>
    <w:rsid w:val="00431B92"/>
    <w:rsid w:val="00431CD2"/>
    <w:rsid w:val="00432A9E"/>
    <w:rsid w:val="00432F75"/>
    <w:rsid w:val="00433D51"/>
    <w:rsid w:val="00435E65"/>
    <w:rsid w:val="00436886"/>
    <w:rsid w:val="00437370"/>
    <w:rsid w:val="00441AE6"/>
    <w:rsid w:val="00443CB3"/>
    <w:rsid w:val="0044671B"/>
    <w:rsid w:val="004510FD"/>
    <w:rsid w:val="00457A57"/>
    <w:rsid w:val="00460D4D"/>
    <w:rsid w:val="004621A2"/>
    <w:rsid w:val="00462270"/>
    <w:rsid w:val="00462CEE"/>
    <w:rsid w:val="004704E5"/>
    <w:rsid w:val="00476072"/>
    <w:rsid w:val="00482144"/>
    <w:rsid w:val="00482895"/>
    <w:rsid w:val="004835AE"/>
    <w:rsid w:val="00493C46"/>
    <w:rsid w:val="00493CD5"/>
    <w:rsid w:val="004946DA"/>
    <w:rsid w:val="004958A5"/>
    <w:rsid w:val="00495AFE"/>
    <w:rsid w:val="004974D6"/>
    <w:rsid w:val="004A189B"/>
    <w:rsid w:val="004A3C5E"/>
    <w:rsid w:val="004A3F92"/>
    <w:rsid w:val="004A4AED"/>
    <w:rsid w:val="004A5992"/>
    <w:rsid w:val="004B0A92"/>
    <w:rsid w:val="004B49A9"/>
    <w:rsid w:val="004B4CCA"/>
    <w:rsid w:val="004B56AF"/>
    <w:rsid w:val="004B6A06"/>
    <w:rsid w:val="004C2D9B"/>
    <w:rsid w:val="004C39C2"/>
    <w:rsid w:val="004C63BF"/>
    <w:rsid w:val="004D0462"/>
    <w:rsid w:val="004D0798"/>
    <w:rsid w:val="004D1357"/>
    <w:rsid w:val="004D2A23"/>
    <w:rsid w:val="004D4105"/>
    <w:rsid w:val="004D6373"/>
    <w:rsid w:val="004D648E"/>
    <w:rsid w:val="004E03F4"/>
    <w:rsid w:val="004E0CCB"/>
    <w:rsid w:val="004E266D"/>
    <w:rsid w:val="004E2A2C"/>
    <w:rsid w:val="004E4946"/>
    <w:rsid w:val="004E5ADD"/>
    <w:rsid w:val="004F0F73"/>
    <w:rsid w:val="004F4449"/>
    <w:rsid w:val="004F4876"/>
    <w:rsid w:val="004F4A78"/>
    <w:rsid w:val="004F5F83"/>
    <w:rsid w:val="004F612F"/>
    <w:rsid w:val="004F62AE"/>
    <w:rsid w:val="00500F5E"/>
    <w:rsid w:val="00502C16"/>
    <w:rsid w:val="00503166"/>
    <w:rsid w:val="005044DC"/>
    <w:rsid w:val="00504807"/>
    <w:rsid w:val="005062DF"/>
    <w:rsid w:val="00507B65"/>
    <w:rsid w:val="00510BDA"/>
    <w:rsid w:val="0051192E"/>
    <w:rsid w:val="00513623"/>
    <w:rsid w:val="00513FAF"/>
    <w:rsid w:val="00516896"/>
    <w:rsid w:val="0052041A"/>
    <w:rsid w:val="0052044E"/>
    <w:rsid w:val="005208E4"/>
    <w:rsid w:val="00520A8A"/>
    <w:rsid w:val="00520D45"/>
    <w:rsid w:val="0052221E"/>
    <w:rsid w:val="00523583"/>
    <w:rsid w:val="00523EEB"/>
    <w:rsid w:val="005243E8"/>
    <w:rsid w:val="00524691"/>
    <w:rsid w:val="00527173"/>
    <w:rsid w:val="0053192E"/>
    <w:rsid w:val="005452E1"/>
    <w:rsid w:val="0054652E"/>
    <w:rsid w:val="00546D94"/>
    <w:rsid w:val="00547280"/>
    <w:rsid w:val="00557DB8"/>
    <w:rsid w:val="005603F7"/>
    <w:rsid w:val="005605E2"/>
    <w:rsid w:val="00564063"/>
    <w:rsid w:val="00567ABC"/>
    <w:rsid w:val="0058196E"/>
    <w:rsid w:val="005831F5"/>
    <w:rsid w:val="00585FCA"/>
    <w:rsid w:val="00591F3B"/>
    <w:rsid w:val="00592C13"/>
    <w:rsid w:val="00595754"/>
    <w:rsid w:val="00596A18"/>
    <w:rsid w:val="00597702"/>
    <w:rsid w:val="005A28AF"/>
    <w:rsid w:val="005B323C"/>
    <w:rsid w:val="005B6E72"/>
    <w:rsid w:val="005C10E4"/>
    <w:rsid w:val="005C4034"/>
    <w:rsid w:val="005C40DD"/>
    <w:rsid w:val="005C58EB"/>
    <w:rsid w:val="005C6B4C"/>
    <w:rsid w:val="005D2746"/>
    <w:rsid w:val="005D79E8"/>
    <w:rsid w:val="005E1D06"/>
    <w:rsid w:val="005E75B7"/>
    <w:rsid w:val="005F408E"/>
    <w:rsid w:val="005F68E1"/>
    <w:rsid w:val="005F68E6"/>
    <w:rsid w:val="005F6D50"/>
    <w:rsid w:val="005F706E"/>
    <w:rsid w:val="006024D6"/>
    <w:rsid w:val="006046B5"/>
    <w:rsid w:val="00611B35"/>
    <w:rsid w:val="00614C60"/>
    <w:rsid w:val="006203B1"/>
    <w:rsid w:val="00620BE5"/>
    <w:rsid w:val="0062269D"/>
    <w:rsid w:val="00624AE1"/>
    <w:rsid w:val="00626DB8"/>
    <w:rsid w:val="006272D3"/>
    <w:rsid w:val="00627E99"/>
    <w:rsid w:val="006351F0"/>
    <w:rsid w:val="00643ED7"/>
    <w:rsid w:val="006444DB"/>
    <w:rsid w:val="00646A6B"/>
    <w:rsid w:val="00651014"/>
    <w:rsid w:val="00651333"/>
    <w:rsid w:val="00655270"/>
    <w:rsid w:val="00655C6C"/>
    <w:rsid w:val="00662ABE"/>
    <w:rsid w:val="00662AF2"/>
    <w:rsid w:val="006669BD"/>
    <w:rsid w:val="0067052F"/>
    <w:rsid w:val="006707A4"/>
    <w:rsid w:val="0067119B"/>
    <w:rsid w:val="00672093"/>
    <w:rsid w:val="0067357E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DC4"/>
    <w:rsid w:val="00694D9C"/>
    <w:rsid w:val="00697BF7"/>
    <w:rsid w:val="006A40AB"/>
    <w:rsid w:val="006A7E8E"/>
    <w:rsid w:val="006B0492"/>
    <w:rsid w:val="006B4529"/>
    <w:rsid w:val="006B4D05"/>
    <w:rsid w:val="006B52DB"/>
    <w:rsid w:val="006B5A54"/>
    <w:rsid w:val="006B7517"/>
    <w:rsid w:val="006B7937"/>
    <w:rsid w:val="006C078D"/>
    <w:rsid w:val="006C50F2"/>
    <w:rsid w:val="006C6640"/>
    <w:rsid w:val="006D01D0"/>
    <w:rsid w:val="006D15A0"/>
    <w:rsid w:val="006D362E"/>
    <w:rsid w:val="006D50C8"/>
    <w:rsid w:val="006E29DE"/>
    <w:rsid w:val="006E3135"/>
    <w:rsid w:val="006E4AD6"/>
    <w:rsid w:val="006E5DB8"/>
    <w:rsid w:val="006E653F"/>
    <w:rsid w:val="006E6B4C"/>
    <w:rsid w:val="006E7AF4"/>
    <w:rsid w:val="006F19F9"/>
    <w:rsid w:val="006F35D2"/>
    <w:rsid w:val="006F4F1C"/>
    <w:rsid w:val="006F63E6"/>
    <w:rsid w:val="006F7059"/>
    <w:rsid w:val="006F712C"/>
    <w:rsid w:val="00704508"/>
    <w:rsid w:val="00706F55"/>
    <w:rsid w:val="007074DC"/>
    <w:rsid w:val="00707A41"/>
    <w:rsid w:val="0071482E"/>
    <w:rsid w:val="00722F9B"/>
    <w:rsid w:val="007251CE"/>
    <w:rsid w:val="00730B71"/>
    <w:rsid w:val="0073113A"/>
    <w:rsid w:val="007312D6"/>
    <w:rsid w:val="007327DD"/>
    <w:rsid w:val="007430BB"/>
    <w:rsid w:val="007431B3"/>
    <w:rsid w:val="00743FDD"/>
    <w:rsid w:val="0075006A"/>
    <w:rsid w:val="00750CA0"/>
    <w:rsid w:val="007513E5"/>
    <w:rsid w:val="007515CD"/>
    <w:rsid w:val="00751B92"/>
    <w:rsid w:val="00751EC2"/>
    <w:rsid w:val="00752E82"/>
    <w:rsid w:val="00753F7C"/>
    <w:rsid w:val="00754837"/>
    <w:rsid w:val="0075497F"/>
    <w:rsid w:val="00767C6C"/>
    <w:rsid w:val="007706EE"/>
    <w:rsid w:val="0077107B"/>
    <w:rsid w:val="0077161C"/>
    <w:rsid w:val="0077734A"/>
    <w:rsid w:val="00785B62"/>
    <w:rsid w:val="00787581"/>
    <w:rsid w:val="00791F5B"/>
    <w:rsid w:val="00793124"/>
    <w:rsid w:val="00796D48"/>
    <w:rsid w:val="007A1F5A"/>
    <w:rsid w:val="007A231F"/>
    <w:rsid w:val="007A4A07"/>
    <w:rsid w:val="007A551E"/>
    <w:rsid w:val="007B2F2C"/>
    <w:rsid w:val="007C07D3"/>
    <w:rsid w:val="007C4D1D"/>
    <w:rsid w:val="007C4DE7"/>
    <w:rsid w:val="007C56DA"/>
    <w:rsid w:val="007C689F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2E03"/>
    <w:rsid w:val="007F34C8"/>
    <w:rsid w:val="007F5A19"/>
    <w:rsid w:val="007F63EA"/>
    <w:rsid w:val="008015EB"/>
    <w:rsid w:val="008033B8"/>
    <w:rsid w:val="008114A9"/>
    <w:rsid w:val="008118E2"/>
    <w:rsid w:val="00811CA6"/>
    <w:rsid w:val="0081236A"/>
    <w:rsid w:val="00812EC1"/>
    <w:rsid w:val="00813621"/>
    <w:rsid w:val="00813DB7"/>
    <w:rsid w:val="00814B4C"/>
    <w:rsid w:val="008174D7"/>
    <w:rsid w:val="00822CBB"/>
    <w:rsid w:val="008278B9"/>
    <w:rsid w:val="00840E5A"/>
    <w:rsid w:val="00842531"/>
    <w:rsid w:val="0084253A"/>
    <w:rsid w:val="00845491"/>
    <w:rsid w:val="00850DA0"/>
    <w:rsid w:val="00851B2B"/>
    <w:rsid w:val="00856A49"/>
    <w:rsid w:val="008577B3"/>
    <w:rsid w:val="00863BD0"/>
    <w:rsid w:val="00865950"/>
    <w:rsid w:val="0087146C"/>
    <w:rsid w:val="008728C7"/>
    <w:rsid w:val="00875065"/>
    <w:rsid w:val="008754DA"/>
    <w:rsid w:val="008776C0"/>
    <w:rsid w:val="008819FE"/>
    <w:rsid w:val="0089187A"/>
    <w:rsid w:val="00892C0C"/>
    <w:rsid w:val="008A2E23"/>
    <w:rsid w:val="008B5159"/>
    <w:rsid w:val="008B6D92"/>
    <w:rsid w:val="008B6E10"/>
    <w:rsid w:val="008C22D5"/>
    <w:rsid w:val="008C3B72"/>
    <w:rsid w:val="008C44B8"/>
    <w:rsid w:val="008D0328"/>
    <w:rsid w:val="008D69F1"/>
    <w:rsid w:val="008D7F7A"/>
    <w:rsid w:val="008E0361"/>
    <w:rsid w:val="008E0687"/>
    <w:rsid w:val="008E2125"/>
    <w:rsid w:val="008E5FDA"/>
    <w:rsid w:val="008E7A21"/>
    <w:rsid w:val="00903DE7"/>
    <w:rsid w:val="00904BEC"/>
    <w:rsid w:val="0090577F"/>
    <w:rsid w:val="00906511"/>
    <w:rsid w:val="00910446"/>
    <w:rsid w:val="00913607"/>
    <w:rsid w:val="00920F5C"/>
    <w:rsid w:val="0092477D"/>
    <w:rsid w:val="00925410"/>
    <w:rsid w:val="009324E6"/>
    <w:rsid w:val="009328A6"/>
    <w:rsid w:val="00933260"/>
    <w:rsid w:val="00935F76"/>
    <w:rsid w:val="0093660D"/>
    <w:rsid w:val="00936FD5"/>
    <w:rsid w:val="00940DEA"/>
    <w:rsid w:val="00941E16"/>
    <w:rsid w:val="0094203E"/>
    <w:rsid w:val="009430D1"/>
    <w:rsid w:val="00946629"/>
    <w:rsid w:val="00946A00"/>
    <w:rsid w:val="00950772"/>
    <w:rsid w:val="00950AC1"/>
    <w:rsid w:val="00952142"/>
    <w:rsid w:val="009524C3"/>
    <w:rsid w:val="00952F3D"/>
    <w:rsid w:val="00953B72"/>
    <w:rsid w:val="00955404"/>
    <w:rsid w:val="0095540F"/>
    <w:rsid w:val="00957B6A"/>
    <w:rsid w:val="009639E9"/>
    <w:rsid w:val="009640F2"/>
    <w:rsid w:val="0096647B"/>
    <w:rsid w:val="00973F22"/>
    <w:rsid w:val="00980896"/>
    <w:rsid w:val="009822A0"/>
    <w:rsid w:val="00983FA1"/>
    <w:rsid w:val="00984A89"/>
    <w:rsid w:val="0098501D"/>
    <w:rsid w:val="00986DC1"/>
    <w:rsid w:val="009917E3"/>
    <w:rsid w:val="00996FBB"/>
    <w:rsid w:val="009973F7"/>
    <w:rsid w:val="00997843"/>
    <w:rsid w:val="009A31E3"/>
    <w:rsid w:val="009A3AEC"/>
    <w:rsid w:val="009A408C"/>
    <w:rsid w:val="009B0771"/>
    <w:rsid w:val="009B4400"/>
    <w:rsid w:val="009B74D1"/>
    <w:rsid w:val="009C06F4"/>
    <w:rsid w:val="009C2AFD"/>
    <w:rsid w:val="009C5794"/>
    <w:rsid w:val="009D28E8"/>
    <w:rsid w:val="009D2F49"/>
    <w:rsid w:val="009D3151"/>
    <w:rsid w:val="009D4E86"/>
    <w:rsid w:val="009D648E"/>
    <w:rsid w:val="009E2639"/>
    <w:rsid w:val="009E336C"/>
    <w:rsid w:val="009E4B29"/>
    <w:rsid w:val="009E4CF4"/>
    <w:rsid w:val="009E4F9B"/>
    <w:rsid w:val="009E655D"/>
    <w:rsid w:val="009F044C"/>
    <w:rsid w:val="009F11AD"/>
    <w:rsid w:val="009F7393"/>
    <w:rsid w:val="00A01C8B"/>
    <w:rsid w:val="00A01E04"/>
    <w:rsid w:val="00A061C6"/>
    <w:rsid w:val="00A16495"/>
    <w:rsid w:val="00A1772E"/>
    <w:rsid w:val="00A20D67"/>
    <w:rsid w:val="00A21344"/>
    <w:rsid w:val="00A24D49"/>
    <w:rsid w:val="00A25E54"/>
    <w:rsid w:val="00A50B8E"/>
    <w:rsid w:val="00A55339"/>
    <w:rsid w:val="00A56CB2"/>
    <w:rsid w:val="00A570F7"/>
    <w:rsid w:val="00A605C7"/>
    <w:rsid w:val="00A609E9"/>
    <w:rsid w:val="00A61C2D"/>
    <w:rsid w:val="00A62320"/>
    <w:rsid w:val="00A62452"/>
    <w:rsid w:val="00A62EC1"/>
    <w:rsid w:val="00A7271D"/>
    <w:rsid w:val="00A74C66"/>
    <w:rsid w:val="00A7556A"/>
    <w:rsid w:val="00A75CF8"/>
    <w:rsid w:val="00A764C6"/>
    <w:rsid w:val="00A82348"/>
    <w:rsid w:val="00A84CB0"/>
    <w:rsid w:val="00A84F98"/>
    <w:rsid w:val="00A86745"/>
    <w:rsid w:val="00A9046A"/>
    <w:rsid w:val="00A91736"/>
    <w:rsid w:val="00A921D9"/>
    <w:rsid w:val="00A92638"/>
    <w:rsid w:val="00A929A5"/>
    <w:rsid w:val="00A933FF"/>
    <w:rsid w:val="00A93E93"/>
    <w:rsid w:val="00A950A0"/>
    <w:rsid w:val="00AA0E77"/>
    <w:rsid w:val="00AA54DC"/>
    <w:rsid w:val="00AA6448"/>
    <w:rsid w:val="00AA65BB"/>
    <w:rsid w:val="00AB4CE9"/>
    <w:rsid w:val="00AC3594"/>
    <w:rsid w:val="00AC43D9"/>
    <w:rsid w:val="00AC467A"/>
    <w:rsid w:val="00AC703A"/>
    <w:rsid w:val="00AD15BC"/>
    <w:rsid w:val="00AD1BB9"/>
    <w:rsid w:val="00AD2E5F"/>
    <w:rsid w:val="00AE2ACD"/>
    <w:rsid w:val="00AE36EB"/>
    <w:rsid w:val="00AE4134"/>
    <w:rsid w:val="00AE4E8D"/>
    <w:rsid w:val="00AE780C"/>
    <w:rsid w:val="00AF15E8"/>
    <w:rsid w:val="00AF23FB"/>
    <w:rsid w:val="00AF2B45"/>
    <w:rsid w:val="00B02624"/>
    <w:rsid w:val="00B02D0F"/>
    <w:rsid w:val="00B05DFA"/>
    <w:rsid w:val="00B10603"/>
    <w:rsid w:val="00B130CC"/>
    <w:rsid w:val="00B156EF"/>
    <w:rsid w:val="00B17B15"/>
    <w:rsid w:val="00B211BF"/>
    <w:rsid w:val="00B22014"/>
    <w:rsid w:val="00B23848"/>
    <w:rsid w:val="00B244DC"/>
    <w:rsid w:val="00B26B75"/>
    <w:rsid w:val="00B27091"/>
    <w:rsid w:val="00B2795C"/>
    <w:rsid w:val="00B30C50"/>
    <w:rsid w:val="00B32A22"/>
    <w:rsid w:val="00B34198"/>
    <w:rsid w:val="00B358E6"/>
    <w:rsid w:val="00B35F2A"/>
    <w:rsid w:val="00B36A95"/>
    <w:rsid w:val="00B4577D"/>
    <w:rsid w:val="00B4700B"/>
    <w:rsid w:val="00B4738A"/>
    <w:rsid w:val="00B47D63"/>
    <w:rsid w:val="00B50286"/>
    <w:rsid w:val="00B550CB"/>
    <w:rsid w:val="00B55D7E"/>
    <w:rsid w:val="00B60C8C"/>
    <w:rsid w:val="00B62F12"/>
    <w:rsid w:val="00B63455"/>
    <w:rsid w:val="00B634A6"/>
    <w:rsid w:val="00B64573"/>
    <w:rsid w:val="00B65ABB"/>
    <w:rsid w:val="00B71FD5"/>
    <w:rsid w:val="00B7661A"/>
    <w:rsid w:val="00B8306B"/>
    <w:rsid w:val="00B8650C"/>
    <w:rsid w:val="00B86A39"/>
    <w:rsid w:val="00B8779F"/>
    <w:rsid w:val="00B910D8"/>
    <w:rsid w:val="00B916A3"/>
    <w:rsid w:val="00B967F5"/>
    <w:rsid w:val="00BA2A4A"/>
    <w:rsid w:val="00BA4D95"/>
    <w:rsid w:val="00BA50A8"/>
    <w:rsid w:val="00BA6296"/>
    <w:rsid w:val="00BA6321"/>
    <w:rsid w:val="00BB38EB"/>
    <w:rsid w:val="00BB6A8F"/>
    <w:rsid w:val="00BC2810"/>
    <w:rsid w:val="00BC5169"/>
    <w:rsid w:val="00BC5F23"/>
    <w:rsid w:val="00BC7440"/>
    <w:rsid w:val="00BE0489"/>
    <w:rsid w:val="00BE366A"/>
    <w:rsid w:val="00BF3411"/>
    <w:rsid w:val="00C0316A"/>
    <w:rsid w:val="00C031FA"/>
    <w:rsid w:val="00C0539B"/>
    <w:rsid w:val="00C12159"/>
    <w:rsid w:val="00C1239A"/>
    <w:rsid w:val="00C127A9"/>
    <w:rsid w:val="00C13D19"/>
    <w:rsid w:val="00C149A4"/>
    <w:rsid w:val="00C14CCA"/>
    <w:rsid w:val="00C153BD"/>
    <w:rsid w:val="00C16831"/>
    <w:rsid w:val="00C17FF1"/>
    <w:rsid w:val="00C22089"/>
    <w:rsid w:val="00C25926"/>
    <w:rsid w:val="00C27E77"/>
    <w:rsid w:val="00C31057"/>
    <w:rsid w:val="00C32AA1"/>
    <w:rsid w:val="00C3359D"/>
    <w:rsid w:val="00C37F67"/>
    <w:rsid w:val="00C418F4"/>
    <w:rsid w:val="00C52B20"/>
    <w:rsid w:val="00C5318A"/>
    <w:rsid w:val="00C55236"/>
    <w:rsid w:val="00C62862"/>
    <w:rsid w:val="00C63242"/>
    <w:rsid w:val="00C6412F"/>
    <w:rsid w:val="00C66556"/>
    <w:rsid w:val="00C66CF1"/>
    <w:rsid w:val="00C67855"/>
    <w:rsid w:val="00C7452A"/>
    <w:rsid w:val="00C748FB"/>
    <w:rsid w:val="00C76AC2"/>
    <w:rsid w:val="00C82551"/>
    <w:rsid w:val="00C85F5A"/>
    <w:rsid w:val="00C962F3"/>
    <w:rsid w:val="00C9704D"/>
    <w:rsid w:val="00CA16B2"/>
    <w:rsid w:val="00CA57E2"/>
    <w:rsid w:val="00CA666A"/>
    <w:rsid w:val="00CA78C3"/>
    <w:rsid w:val="00CB282A"/>
    <w:rsid w:val="00CB3327"/>
    <w:rsid w:val="00CB3388"/>
    <w:rsid w:val="00CC248D"/>
    <w:rsid w:val="00CC2991"/>
    <w:rsid w:val="00CC4C9D"/>
    <w:rsid w:val="00CC54BD"/>
    <w:rsid w:val="00CD02EA"/>
    <w:rsid w:val="00CD40C9"/>
    <w:rsid w:val="00CD60E5"/>
    <w:rsid w:val="00CD66CF"/>
    <w:rsid w:val="00CD6DB8"/>
    <w:rsid w:val="00CE17DA"/>
    <w:rsid w:val="00CE1979"/>
    <w:rsid w:val="00CE27F3"/>
    <w:rsid w:val="00CE386F"/>
    <w:rsid w:val="00CE435A"/>
    <w:rsid w:val="00CE5D0F"/>
    <w:rsid w:val="00CE7EC0"/>
    <w:rsid w:val="00CF20F9"/>
    <w:rsid w:val="00CF261A"/>
    <w:rsid w:val="00CF74C4"/>
    <w:rsid w:val="00D00005"/>
    <w:rsid w:val="00D020EF"/>
    <w:rsid w:val="00D02A56"/>
    <w:rsid w:val="00D03324"/>
    <w:rsid w:val="00D035E1"/>
    <w:rsid w:val="00D04553"/>
    <w:rsid w:val="00D04A93"/>
    <w:rsid w:val="00D075D6"/>
    <w:rsid w:val="00D124E5"/>
    <w:rsid w:val="00D15375"/>
    <w:rsid w:val="00D15AAF"/>
    <w:rsid w:val="00D20DCB"/>
    <w:rsid w:val="00D21338"/>
    <w:rsid w:val="00D25FB4"/>
    <w:rsid w:val="00D3084A"/>
    <w:rsid w:val="00D32C5D"/>
    <w:rsid w:val="00D3344E"/>
    <w:rsid w:val="00D36AB4"/>
    <w:rsid w:val="00D37048"/>
    <w:rsid w:val="00D4193A"/>
    <w:rsid w:val="00D44043"/>
    <w:rsid w:val="00D5713A"/>
    <w:rsid w:val="00D6629C"/>
    <w:rsid w:val="00D66EB9"/>
    <w:rsid w:val="00D72576"/>
    <w:rsid w:val="00D733D4"/>
    <w:rsid w:val="00D74863"/>
    <w:rsid w:val="00D76DD4"/>
    <w:rsid w:val="00D810FE"/>
    <w:rsid w:val="00D84187"/>
    <w:rsid w:val="00D90437"/>
    <w:rsid w:val="00D92EE0"/>
    <w:rsid w:val="00D93DA8"/>
    <w:rsid w:val="00D940AD"/>
    <w:rsid w:val="00D948C3"/>
    <w:rsid w:val="00D95469"/>
    <w:rsid w:val="00D95B1D"/>
    <w:rsid w:val="00D97025"/>
    <w:rsid w:val="00DA14AE"/>
    <w:rsid w:val="00DA7C0E"/>
    <w:rsid w:val="00DB2B73"/>
    <w:rsid w:val="00DB3213"/>
    <w:rsid w:val="00DB3350"/>
    <w:rsid w:val="00DB36B5"/>
    <w:rsid w:val="00DB3E56"/>
    <w:rsid w:val="00DB7477"/>
    <w:rsid w:val="00DC38CB"/>
    <w:rsid w:val="00DC3BE0"/>
    <w:rsid w:val="00DC695B"/>
    <w:rsid w:val="00DD0C1B"/>
    <w:rsid w:val="00DD27B3"/>
    <w:rsid w:val="00DD3E95"/>
    <w:rsid w:val="00DD46E1"/>
    <w:rsid w:val="00DD4E7F"/>
    <w:rsid w:val="00DD676A"/>
    <w:rsid w:val="00DE1752"/>
    <w:rsid w:val="00DF0777"/>
    <w:rsid w:val="00DF4A7D"/>
    <w:rsid w:val="00DF4D32"/>
    <w:rsid w:val="00DF608C"/>
    <w:rsid w:val="00DF7733"/>
    <w:rsid w:val="00DF776C"/>
    <w:rsid w:val="00E01306"/>
    <w:rsid w:val="00E0629B"/>
    <w:rsid w:val="00E12B5E"/>
    <w:rsid w:val="00E15256"/>
    <w:rsid w:val="00E15F89"/>
    <w:rsid w:val="00E161DF"/>
    <w:rsid w:val="00E17591"/>
    <w:rsid w:val="00E20C16"/>
    <w:rsid w:val="00E21E5F"/>
    <w:rsid w:val="00E22DB5"/>
    <w:rsid w:val="00E34C75"/>
    <w:rsid w:val="00E370DF"/>
    <w:rsid w:val="00E43E4A"/>
    <w:rsid w:val="00E52199"/>
    <w:rsid w:val="00E540AC"/>
    <w:rsid w:val="00E558B9"/>
    <w:rsid w:val="00E55DD4"/>
    <w:rsid w:val="00E60CE4"/>
    <w:rsid w:val="00E610E9"/>
    <w:rsid w:val="00E63062"/>
    <w:rsid w:val="00E6399C"/>
    <w:rsid w:val="00E63DCD"/>
    <w:rsid w:val="00E654D8"/>
    <w:rsid w:val="00E67436"/>
    <w:rsid w:val="00E70E1F"/>
    <w:rsid w:val="00E729C4"/>
    <w:rsid w:val="00E7696B"/>
    <w:rsid w:val="00E77F09"/>
    <w:rsid w:val="00E85DB4"/>
    <w:rsid w:val="00E86DAD"/>
    <w:rsid w:val="00E90670"/>
    <w:rsid w:val="00E90DDD"/>
    <w:rsid w:val="00E923B9"/>
    <w:rsid w:val="00E929B7"/>
    <w:rsid w:val="00E93085"/>
    <w:rsid w:val="00E94374"/>
    <w:rsid w:val="00EA017B"/>
    <w:rsid w:val="00EA7C4C"/>
    <w:rsid w:val="00EB2BE5"/>
    <w:rsid w:val="00EB3265"/>
    <w:rsid w:val="00EC3833"/>
    <w:rsid w:val="00EC3FD1"/>
    <w:rsid w:val="00EC4F79"/>
    <w:rsid w:val="00ED1D99"/>
    <w:rsid w:val="00ED3034"/>
    <w:rsid w:val="00ED68B8"/>
    <w:rsid w:val="00ED6916"/>
    <w:rsid w:val="00EE1B0B"/>
    <w:rsid w:val="00EE45D5"/>
    <w:rsid w:val="00EE6026"/>
    <w:rsid w:val="00EE62A7"/>
    <w:rsid w:val="00EF0C0D"/>
    <w:rsid w:val="00EF29A3"/>
    <w:rsid w:val="00EF3E24"/>
    <w:rsid w:val="00EF50D5"/>
    <w:rsid w:val="00EF554A"/>
    <w:rsid w:val="00EF72A9"/>
    <w:rsid w:val="00F04662"/>
    <w:rsid w:val="00F0488B"/>
    <w:rsid w:val="00F17AB2"/>
    <w:rsid w:val="00F17C85"/>
    <w:rsid w:val="00F210D6"/>
    <w:rsid w:val="00F263F2"/>
    <w:rsid w:val="00F27D4C"/>
    <w:rsid w:val="00F300A3"/>
    <w:rsid w:val="00F30233"/>
    <w:rsid w:val="00F31BC5"/>
    <w:rsid w:val="00F3776D"/>
    <w:rsid w:val="00F409D1"/>
    <w:rsid w:val="00F431D7"/>
    <w:rsid w:val="00F437F1"/>
    <w:rsid w:val="00F50635"/>
    <w:rsid w:val="00F50C5A"/>
    <w:rsid w:val="00F554F4"/>
    <w:rsid w:val="00F57F01"/>
    <w:rsid w:val="00F612C9"/>
    <w:rsid w:val="00F62DCE"/>
    <w:rsid w:val="00F63F85"/>
    <w:rsid w:val="00F6719C"/>
    <w:rsid w:val="00F679E2"/>
    <w:rsid w:val="00F76883"/>
    <w:rsid w:val="00F801A0"/>
    <w:rsid w:val="00F820E0"/>
    <w:rsid w:val="00F86959"/>
    <w:rsid w:val="00F916A6"/>
    <w:rsid w:val="00F9267A"/>
    <w:rsid w:val="00F97012"/>
    <w:rsid w:val="00FA21E5"/>
    <w:rsid w:val="00FA43A1"/>
    <w:rsid w:val="00FA46FA"/>
    <w:rsid w:val="00FA5683"/>
    <w:rsid w:val="00FA78BC"/>
    <w:rsid w:val="00FB10F0"/>
    <w:rsid w:val="00FB4944"/>
    <w:rsid w:val="00FB55F1"/>
    <w:rsid w:val="00FC021A"/>
    <w:rsid w:val="00FC0824"/>
    <w:rsid w:val="00FC40CA"/>
    <w:rsid w:val="00FC56CB"/>
    <w:rsid w:val="00FC59BE"/>
    <w:rsid w:val="00FD3731"/>
    <w:rsid w:val="00FD42EA"/>
    <w:rsid w:val="00FD649D"/>
    <w:rsid w:val="00FE04B4"/>
    <w:rsid w:val="00FE0F7A"/>
    <w:rsid w:val="00FE2ACF"/>
    <w:rsid w:val="00FE3B0F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08C2F9"/>
  <w15:chartTrackingRefBased/>
  <w15:docId w15:val="{AA17C6D7-6137-4528-BFA0-5ED0210A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D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DefaultParagraphFont"/>
    <w:rsid w:val="00863BD0"/>
  </w:style>
  <w:style w:type="character" w:customStyle="1" w:styleId="shorttext">
    <w:name w:val="short_text"/>
    <w:basedOn w:val="DefaultParagraphFont"/>
    <w:rsid w:val="00863BD0"/>
  </w:style>
  <w:style w:type="character" w:customStyle="1" w:styleId="hpsalt-edited">
    <w:name w:val="hps alt-edited"/>
    <w:basedOn w:val="DefaultParagraphFont"/>
    <w:rsid w:val="0086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B8F5-D2C9-40AC-B3C4-D879E063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3951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mailto:dusanka.dostanic@stat.gov.rs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cp:lastModifiedBy>Irena Dimic</cp:lastModifiedBy>
  <cp:revision>5</cp:revision>
  <cp:lastPrinted>2017-11-10T08:53:00Z</cp:lastPrinted>
  <dcterms:created xsi:type="dcterms:W3CDTF">2017-11-15T07:40:00Z</dcterms:created>
  <dcterms:modified xsi:type="dcterms:W3CDTF">2017-11-15T07:53:00Z</dcterms:modified>
</cp:coreProperties>
</file>