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5201"/>
        <w:gridCol w:w="3311"/>
      </w:tblGrid>
      <w:tr w:rsidR="00EF554A" w:rsidRPr="0095210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952101" w:rsidRDefault="00EF554A" w:rsidP="00C149A4">
            <w:pPr>
              <w:rPr>
                <w:color w:val="808080"/>
              </w:rPr>
            </w:pPr>
            <w:r w:rsidRPr="00952101">
              <w:rPr>
                <w:color w:val="808080"/>
                <w:sz w:val="8"/>
                <w:szCs w:val="8"/>
              </w:rPr>
              <w:t xml:space="preserve">                    </w:t>
            </w:r>
            <w:r w:rsidR="009A716E" w:rsidRPr="00952101"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4E1ECE50" wp14:editId="0EDDC388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16E" w:rsidRPr="00952101">
              <w:rPr>
                <w:noProof/>
                <w:color w:val="808080"/>
                <w:lang w:val="en-US"/>
              </w:rPr>
              <w:drawing>
                <wp:inline distT="0" distB="0" distL="0" distR="0" wp14:anchorId="6CA30488" wp14:editId="44F1C43A">
                  <wp:extent cx="866775" cy="209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952101" w:rsidRDefault="00E46D77" w:rsidP="002338F2">
            <w:r w:rsidRPr="00952101">
              <w:t>Republic of Serbia</w:t>
            </w:r>
          </w:p>
          <w:p w:rsidR="00EF554A" w:rsidRPr="00952101" w:rsidRDefault="00E46D77" w:rsidP="00E46D77">
            <w:r w:rsidRPr="00952101"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952101" w:rsidRDefault="00EF554A" w:rsidP="006E7AF4">
            <w:pPr>
              <w:jc w:val="right"/>
              <w:rPr>
                <w:b/>
                <w:bCs/>
                <w:color w:val="FF0000"/>
              </w:rPr>
            </w:pPr>
            <w:r w:rsidRPr="00952101">
              <w:t>ISSN 0353-9555</w:t>
            </w:r>
          </w:p>
        </w:tc>
      </w:tr>
      <w:tr w:rsidR="00EF554A" w:rsidRPr="00952101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952101" w:rsidRDefault="00350FC0" w:rsidP="002338F2">
            <w:pPr>
              <w:rPr>
                <w:color w:val="808080"/>
              </w:rPr>
            </w:pPr>
            <w:r w:rsidRPr="00952101">
              <w:rPr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952101" w:rsidRDefault="006F4722" w:rsidP="006F4722">
            <w:pPr>
              <w:jc w:val="right"/>
              <w:rPr>
                <w:b/>
                <w:bCs/>
                <w:color w:val="808080"/>
                <w:sz w:val="12"/>
                <w:szCs w:val="12"/>
              </w:rPr>
            </w:pPr>
            <w:r w:rsidRPr="00952101">
              <w:rPr>
                <w:b/>
                <w:bCs/>
                <w:color w:val="808080"/>
                <w:sz w:val="48"/>
                <w:szCs w:val="48"/>
              </w:rPr>
              <w:t>ZS8</w:t>
            </w:r>
            <w:r w:rsidR="005208E4" w:rsidRPr="00952101">
              <w:rPr>
                <w:b/>
                <w:bCs/>
                <w:color w:val="808080"/>
                <w:sz w:val="48"/>
                <w:szCs w:val="48"/>
              </w:rPr>
              <w:t>0</w:t>
            </w:r>
          </w:p>
        </w:tc>
      </w:tr>
      <w:tr w:rsidR="00EF554A" w:rsidRPr="0095210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952101" w:rsidRDefault="00E46D77" w:rsidP="00014006">
            <w:r w:rsidRPr="00952101">
              <w:t>Number</w:t>
            </w:r>
            <w:r w:rsidR="00EF554A" w:rsidRPr="00952101">
              <w:t xml:space="preserve"> </w:t>
            </w:r>
            <w:r w:rsidR="00014006">
              <w:rPr>
                <w:lang w:val="sr-Cyrl-RS"/>
              </w:rPr>
              <w:t>259</w:t>
            </w:r>
            <w:r w:rsidR="00725E63" w:rsidRPr="00952101">
              <w:rPr>
                <w:color w:val="FF0000"/>
              </w:rPr>
              <w:t xml:space="preserve"> </w:t>
            </w:r>
            <w:r w:rsidR="00EF554A" w:rsidRPr="00952101">
              <w:t xml:space="preserve">- </w:t>
            </w:r>
            <w:r w:rsidRPr="00952101">
              <w:t>Year</w:t>
            </w:r>
            <w:r w:rsidR="00EF554A" w:rsidRPr="00952101">
              <w:t xml:space="preserve"> LX</w:t>
            </w:r>
            <w:r w:rsidR="0087146C" w:rsidRPr="00952101">
              <w:t>V</w:t>
            </w:r>
            <w:r w:rsidR="006F4722" w:rsidRPr="00952101">
              <w:t>I</w:t>
            </w:r>
            <w:r w:rsidR="008E54FC" w:rsidRPr="00952101">
              <w:t>I</w:t>
            </w:r>
            <w:r w:rsidR="00EF554A" w:rsidRPr="00952101">
              <w:t xml:space="preserve">, </w:t>
            </w:r>
            <w:r w:rsidR="00FA5683" w:rsidRPr="00952101">
              <w:t>20</w:t>
            </w:r>
            <w:r w:rsidR="00EF554A" w:rsidRPr="00952101">
              <w:t>.</w:t>
            </w:r>
            <w:r w:rsidR="00C71557" w:rsidRPr="00952101">
              <w:t>09</w:t>
            </w:r>
            <w:r w:rsidR="00EF554A" w:rsidRPr="00952101">
              <w:t>.201</w:t>
            </w:r>
            <w:r w:rsidR="006F4722" w:rsidRPr="00952101"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952101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</w:rPr>
            </w:pPr>
          </w:p>
        </w:tc>
      </w:tr>
      <w:tr w:rsidR="00EF554A" w:rsidRPr="00952101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952101" w:rsidRDefault="00C50F07" w:rsidP="00350FC0">
            <w:pPr>
              <w:rPr>
                <w:b/>
                <w:bCs/>
                <w:sz w:val="24"/>
                <w:szCs w:val="24"/>
              </w:rPr>
            </w:pPr>
            <w:r w:rsidRPr="00952101">
              <w:rPr>
                <w:b/>
                <w:bCs/>
                <w:sz w:val="24"/>
                <w:szCs w:val="24"/>
              </w:rPr>
              <w:t>Environmental statistics</w:t>
            </w:r>
            <w:r w:rsidR="00E46D77" w:rsidRPr="0095210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952101" w:rsidRDefault="00E46D77" w:rsidP="00014006">
            <w:pPr>
              <w:jc w:val="right"/>
              <w:rPr>
                <w:b/>
                <w:bCs/>
              </w:rPr>
            </w:pPr>
            <w:r w:rsidRPr="00952101">
              <w:t>SERB</w:t>
            </w:r>
            <w:r w:rsidR="00014006">
              <w:rPr>
                <w:lang w:val="sr-Cyrl-RS"/>
              </w:rPr>
              <w:t>259</w:t>
            </w:r>
            <w:r w:rsidR="001C53BD" w:rsidRPr="00952101">
              <w:t xml:space="preserve"> </w:t>
            </w:r>
            <w:r w:rsidR="006F4722" w:rsidRPr="00952101">
              <w:t>ZS8</w:t>
            </w:r>
            <w:r w:rsidR="007513E5" w:rsidRPr="00952101">
              <w:t>0</w:t>
            </w:r>
            <w:r w:rsidR="00EF554A" w:rsidRPr="00952101">
              <w:t xml:space="preserve"> </w:t>
            </w:r>
            <w:r w:rsidR="00FA5683" w:rsidRPr="00952101">
              <w:t>20</w:t>
            </w:r>
            <w:r w:rsidR="00C71557" w:rsidRPr="00952101">
              <w:t>09</w:t>
            </w:r>
            <w:r w:rsidR="00EF554A" w:rsidRPr="00952101">
              <w:t>1</w:t>
            </w:r>
            <w:r w:rsidR="006F4722" w:rsidRPr="00952101">
              <w:t>7</w:t>
            </w:r>
          </w:p>
        </w:tc>
      </w:tr>
    </w:tbl>
    <w:p w:rsidR="0031163C" w:rsidRPr="00952101" w:rsidRDefault="00E46D77" w:rsidP="00994910">
      <w:pPr>
        <w:spacing w:before="480" w:after="120"/>
        <w:jc w:val="center"/>
        <w:outlineLvl w:val="0"/>
        <w:rPr>
          <w:b/>
          <w:color w:val="202F38"/>
          <w:sz w:val="24"/>
          <w:szCs w:val="24"/>
          <w:shd w:val="clear" w:color="auto" w:fill="FFFFFF"/>
        </w:rPr>
      </w:pPr>
      <w:r w:rsidRPr="00952101">
        <w:rPr>
          <w:b/>
          <w:color w:val="202F38"/>
          <w:sz w:val="24"/>
          <w:szCs w:val="24"/>
          <w:shd w:val="clear" w:color="auto" w:fill="FFFFFF"/>
        </w:rPr>
        <w:t>Air Emissions Account, 2013 and 201</w:t>
      </w:r>
      <w:r w:rsidR="006F4722" w:rsidRPr="00952101">
        <w:rPr>
          <w:b/>
          <w:color w:val="202F38"/>
          <w:sz w:val="24"/>
          <w:szCs w:val="24"/>
          <w:shd w:val="clear" w:color="auto" w:fill="FFFFFF"/>
        </w:rPr>
        <w:t>5</w:t>
      </w:r>
    </w:p>
    <w:p w:rsidR="008740AE" w:rsidRPr="00952101" w:rsidRDefault="008740AE" w:rsidP="00C71557">
      <w:pPr>
        <w:spacing w:before="120" w:after="120"/>
        <w:ind w:firstLine="450"/>
        <w:jc w:val="both"/>
      </w:pPr>
    </w:p>
    <w:p w:rsidR="006F4722" w:rsidRPr="00952101" w:rsidRDefault="006F4722" w:rsidP="006F4722">
      <w:pPr>
        <w:ind w:firstLine="403"/>
        <w:jc w:val="both"/>
        <w:rPr>
          <w:b/>
        </w:rPr>
      </w:pPr>
      <w:r w:rsidRPr="00952101">
        <w:rPr>
          <w:b/>
        </w:rPr>
        <w:t xml:space="preserve">Air emissions in slight increase </w:t>
      </w:r>
    </w:p>
    <w:p w:rsidR="006F4722" w:rsidRPr="00952101" w:rsidRDefault="006F4722" w:rsidP="006F4722">
      <w:pPr>
        <w:spacing w:before="120" w:after="120" w:line="264" w:lineRule="auto"/>
        <w:ind w:firstLine="450"/>
        <w:jc w:val="both"/>
        <w:rPr>
          <w:color w:val="FF0000"/>
        </w:rPr>
      </w:pPr>
      <w:r w:rsidRPr="00952101">
        <w:t>Regarding greenhouse gas</w:t>
      </w:r>
      <w:r w:rsidR="00C50F07" w:rsidRPr="00952101">
        <w:t>es</w:t>
      </w:r>
      <w:r w:rsidRPr="00952101">
        <w:t xml:space="preserve"> emissions in 2013, the greatest was the emission of CO</w:t>
      </w:r>
      <w:r w:rsidRPr="00952101">
        <w:rPr>
          <w:vertAlign w:val="subscript"/>
        </w:rPr>
        <w:t>2</w:t>
      </w:r>
      <w:r w:rsidRPr="00952101">
        <w:t xml:space="preserve">, amounting to 48699.6 thousand tons (Gg), while regarding the pollutants emission in 2015, emission of </w:t>
      </w:r>
      <w:proofErr w:type="spellStart"/>
      <w:r w:rsidRPr="00952101">
        <w:t>SОx</w:t>
      </w:r>
      <w:proofErr w:type="spellEnd"/>
      <w:r w:rsidRPr="00952101">
        <w:t xml:space="preserve"> was 415.5 thousand tons (Gg).  </w:t>
      </w:r>
      <w:r w:rsidRPr="00952101">
        <w:rPr>
          <w:color w:val="FF0000"/>
        </w:rPr>
        <w:t xml:space="preserve"> </w:t>
      </w:r>
    </w:p>
    <w:p w:rsidR="006F4722" w:rsidRPr="00952101" w:rsidRDefault="006F4722" w:rsidP="006F4722">
      <w:pPr>
        <w:spacing w:before="120" w:after="120" w:line="264" w:lineRule="auto"/>
        <w:ind w:firstLine="450"/>
        <w:jc w:val="both"/>
      </w:pPr>
      <w:r w:rsidRPr="00952101">
        <w:t>Emission of CO</w:t>
      </w:r>
      <w:r w:rsidRPr="00952101">
        <w:rPr>
          <w:vertAlign w:val="subscript"/>
        </w:rPr>
        <w:t>2</w:t>
      </w:r>
      <w:r w:rsidRPr="00952101">
        <w:t xml:space="preserve"> in 2013 increased by 2.8% relative to the previous year, and emissions of </w:t>
      </w:r>
      <w:proofErr w:type="spellStart"/>
      <w:r w:rsidRPr="00952101">
        <w:t>NОx</w:t>
      </w:r>
      <w:proofErr w:type="spellEnd"/>
      <w:r w:rsidRPr="00952101">
        <w:t xml:space="preserve"> and </w:t>
      </w:r>
      <w:proofErr w:type="spellStart"/>
      <w:r w:rsidRPr="00952101">
        <w:t>SОx</w:t>
      </w:r>
      <w:proofErr w:type="spellEnd"/>
      <w:r w:rsidRPr="00952101">
        <w:t xml:space="preserve"> increased by 15.5%, i.e. 26.9% relative to 2014.  </w:t>
      </w:r>
      <w:r w:rsidRPr="00952101">
        <w:rPr>
          <w:color w:val="FF0000"/>
        </w:rPr>
        <w:t xml:space="preserve"> </w:t>
      </w:r>
    </w:p>
    <w:p w:rsidR="00493032" w:rsidRPr="00952101" w:rsidRDefault="00493032" w:rsidP="006F4722">
      <w:pPr>
        <w:spacing w:before="120" w:after="120" w:line="264" w:lineRule="auto"/>
        <w:ind w:firstLine="450"/>
        <w:jc w:val="both"/>
        <w:rPr>
          <w:b/>
        </w:rPr>
      </w:pPr>
    </w:p>
    <w:p w:rsidR="006F4722" w:rsidRPr="00952101" w:rsidRDefault="006F4722" w:rsidP="006F4722">
      <w:pPr>
        <w:spacing w:before="120" w:after="120" w:line="264" w:lineRule="auto"/>
        <w:ind w:firstLine="450"/>
        <w:jc w:val="both"/>
        <w:rPr>
          <w:b/>
          <w:color w:val="FF0000"/>
        </w:rPr>
      </w:pPr>
      <w:r w:rsidRPr="00952101">
        <w:rPr>
          <w:b/>
        </w:rPr>
        <w:t>Emission of CO</w:t>
      </w:r>
      <w:r w:rsidRPr="00952101">
        <w:rPr>
          <w:b/>
          <w:vertAlign w:val="subscript"/>
        </w:rPr>
        <w:t>2</w:t>
      </w:r>
      <w:r w:rsidRPr="00952101">
        <w:rPr>
          <w:b/>
        </w:rPr>
        <w:t xml:space="preserve"> is still the greatest in the section of Electricity, gas, steam and air conditioning supply</w:t>
      </w:r>
      <w:r w:rsidR="00A8412F" w:rsidRPr="00952101">
        <w:rPr>
          <w:b/>
        </w:rPr>
        <w:t xml:space="preserve"> </w:t>
      </w:r>
    </w:p>
    <w:p w:rsidR="006F4722" w:rsidRPr="00952101" w:rsidRDefault="00A8412F" w:rsidP="006F4722">
      <w:pPr>
        <w:spacing w:before="120" w:after="120" w:line="264" w:lineRule="auto"/>
        <w:ind w:firstLine="450"/>
        <w:jc w:val="both"/>
        <w:rPr>
          <w:color w:val="FF0000"/>
        </w:rPr>
      </w:pPr>
      <w:r w:rsidRPr="00952101">
        <w:t xml:space="preserve">During 2013, emission of </w:t>
      </w:r>
      <w:r w:rsidR="006F4722" w:rsidRPr="00952101">
        <w:t>CO</w:t>
      </w:r>
      <w:r w:rsidR="006F4722" w:rsidRPr="00952101">
        <w:rPr>
          <w:vertAlign w:val="subscript"/>
        </w:rPr>
        <w:t>2</w:t>
      </w:r>
      <w:r w:rsidR="006F4722" w:rsidRPr="00952101">
        <w:t xml:space="preserve"> </w:t>
      </w:r>
      <w:r w:rsidRPr="00952101">
        <w:t xml:space="preserve">increased in the section of Transport and storage, by 31.3%, as well as in the section of Electricity, gas, steam and air conditioning supply, by 4.1%, while in the section of </w:t>
      </w:r>
      <w:r w:rsidR="003D308A" w:rsidRPr="00952101">
        <w:t>M</w:t>
      </w:r>
      <w:r w:rsidRPr="00952101">
        <w:t xml:space="preserve">anufacturing, the decrease of 9.9% </w:t>
      </w:r>
      <w:proofErr w:type="gramStart"/>
      <w:r w:rsidRPr="00952101">
        <w:t>was recorded</w:t>
      </w:r>
      <w:proofErr w:type="gramEnd"/>
      <w:r w:rsidRPr="00952101">
        <w:t>, relative to 2012.</w:t>
      </w:r>
    </w:p>
    <w:p w:rsidR="006F4722" w:rsidRPr="00952101" w:rsidRDefault="00A8412F" w:rsidP="006F4722">
      <w:pPr>
        <w:spacing w:before="120" w:after="120" w:line="264" w:lineRule="auto"/>
        <w:ind w:firstLine="450"/>
        <w:jc w:val="both"/>
        <w:rPr>
          <w:color w:val="FF0000"/>
        </w:rPr>
      </w:pPr>
      <w:r w:rsidRPr="00952101">
        <w:t xml:space="preserve">The greatest </w:t>
      </w:r>
      <w:r w:rsidR="006F4722" w:rsidRPr="00952101">
        <w:t>CO</w:t>
      </w:r>
      <w:r w:rsidR="006F4722" w:rsidRPr="00952101">
        <w:rPr>
          <w:vertAlign w:val="subscript"/>
        </w:rPr>
        <w:t>2</w:t>
      </w:r>
      <w:r w:rsidR="006F4722" w:rsidRPr="00952101">
        <w:t xml:space="preserve"> </w:t>
      </w:r>
      <w:r w:rsidRPr="00952101">
        <w:t xml:space="preserve">emission was from the section of Electricity, gas, steam and air conditioning supply (66.3%), </w:t>
      </w:r>
      <w:r w:rsidR="003E2CBC" w:rsidRPr="00952101">
        <w:t>followed</w:t>
      </w:r>
      <w:r w:rsidRPr="00952101">
        <w:t xml:space="preserve"> by Households (13.2%), from the section of </w:t>
      </w:r>
      <w:proofErr w:type="gramStart"/>
      <w:r w:rsidRPr="00952101">
        <w:t>Manufacturing</w:t>
      </w:r>
      <w:proofErr w:type="gramEnd"/>
      <w:r w:rsidRPr="00952101">
        <w:t xml:space="preserve"> (12.7%) and from </w:t>
      </w:r>
      <w:r w:rsidR="003D308A" w:rsidRPr="00952101">
        <w:t>O</w:t>
      </w:r>
      <w:r w:rsidRPr="00952101">
        <w:t xml:space="preserve">ther sections (7.8%).  </w:t>
      </w:r>
    </w:p>
    <w:p w:rsidR="006F4722" w:rsidRPr="00952101" w:rsidRDefault="006F4722" w:rsidP="00047A0B">
      <w:pPr>
        <w:spacing w:before="120" w:after="120" w:line="264" w:lineRule="auto"/>
        <w:ind w:firstLine="448"/>
        <w:jc w:val="both"/>
      </w:pPr>
    </w:p>
    <w:p w:rsidR="00A8412F" w:rsidRPr="00952101" w:rsidRDefault="00A8412F" w:rsidP="00A8412F">
      <w:pPr>
        <w:spacing w:before="120" w:after="120" w:line="264" w:lineRule="auto"/>
        <w:ind w:firstLine="450"/>
        <w:jc w:val="both"/>
        <w:rPr>
          <w:b/>
          <w:color w:val="FF0000"/>
        </w:rPr>
      </w:pPr>
      <w:r w:rsidRPr="00952101">
        <w:rPr>
          <w:b/>
        </w:rPr>
        <w:t xml:space="preserve">Emissions of </w:t>
      </w:r>
      <w:proofErr w:type="spellStart"/>
      <w:r w:rsidRPr="00952101">
        <w:rPr>
          <w:b/>
        </w:rPr>
        <w:t>SOx</w:t>
      </w:r>
      <w:proofErr w:type="spellEnd"/>
      <w:r w:rsidRPr="00952101">
        <w:rPr>
          <w:b/>
        </w:rPr>
        <w:t xml:space="preserve"> and NOx in 2015 noted increase  </w:t>
      </w:r>
    </w:p>
    <w:p w:rsidR="00A8412F" w:rsidRPr="00952101" w:rsidRDefault="00A8412F" w:rsidP="00A8412F">
      <w:pPr>
        <w:spacing w:before="120" w:after="120" w:line="264" w:lineRule="auto"/>
        <w:ind w:firstLine="450"/>
        <w:jc w:val="both"/>
        <w:rPr>
          <w:color w:val="FF0000"/>
        </w:rPr>
      </w:pPr>
      <w:r w:rsidRPr="00952101">
        <w:t xml:space="preserve">During 2015, the greatest share of </w:t>
      </w:r>
      <w:proofErr w:type="spellStart"/>
      <w:r w:rsidRPr="00952101">
        <w:t>SOx</w:t>
      </w:r>
      <w:proofErr w:type="spellEnd"/>
      <w:r w:rsidRPr="00952101">
        <w:t xml:space="preserve"> emission was recorded in the section of Electricity, gas, steam and air conditioning supply (95.5%), followed by the section of Manufacturing (2.2%), Households (1.4%) and </w:t>
      </w:r>
      <w:r w:rsidR="003D308A" w:rsidRPr="00952101">
        <w:t>O</w:t>
      </w:r>
      <w:r w:rsidRPr="00952101">
        <w:t>ther sections (0.9%).</w:t>
      </w:r>
    </w:p>
    <w:p w:rsidR="00A8412F" w:rsidRPr="00952101" w:rsidRDefault="00A8412F" w:rsidP="00A8412F">
      <w:pPr>
        <w:spacing w:before="120" w:after="120" w:line="264" w:lineRule="auto"/>
        <w:ind w:firstLine="450"/>
        <w:jc w:val="both"/>
        <w:rPr>
          <w:b/>
          <w:bCs/>
          <w:color w:val="FF0000"/>
        </w:rPr>
      </w:pPr>
      <w:proofErr w:type="spellStart"/>
      <w:r w:rsidRPr="00952101">
        <w:t>NОx</w:t>
      </w:r>
      <w:proofErr w:type="spellEnd"/>
      <w:r w:rsidRPr="00952101">
        <w:t xml:space="preserve"> emission in 2015 amounted to 143.6 thousand tons (Gg). The greatest emission was noted in the section of Electricity, gas, steam and air conditioning supply (52.2%), then in </w:t>
      </w:r>
      <w:r w:rsidR="003D308A" w:rsidRPr="00952101">
        <w:t>H</w:t>
      </w:r>
      <w:r w:rsidRPr="00952101">
        <w:t xml:space="preserve">ouseholds (23.0%), </w:t>
      </w:r>
      <w:r w:rsidR="00E00260">
        <w:t xml:space="preserve">in </w:t>
      </w:r>
      <w:r w:rsidR="00E00260" w:rsidRPr="00E00260">
        <w:t xml:space="preserve">section of </w:t>
      </w:r>
      <w:r w:rsidR="003D308A" w:rsidRPr="00952101">
        <w:t>M</w:t>
      </w:r>
      <w:r w:rsidRPr="00952101">
        <w:t xml:space="preserve">anufacturing (10.7%), </w:t>
      </w:r>
      <w:r w:rsidR="00E00260">
        <w:rPr>
          <w:lang w:val="sr-Latn-RS"/>
        </w:rPr>
        <w:t xml:space="preserve">in </w:t>
      </w:r>
      <w:r w:rsidR="003D308A" w:rsidRPr="00952101">
        <w:t xml:space="preserve">the </w:t>
      </w:r>
      <w:r w:rsidRPr="00952101">
        <w:t xml:space="preserve">section of Agriculture, forestry and </w:t>
      </w:r>
      <w:r w:rsidR="004717D1">
        <w:t>fishing</w:t>
      </w:r>
      <w:r w:rsidRPr="00952101">
        <w:t xml:space="preserve"> (6.8%) and in </w:t>
      </w:r>
      <w:proofErr w:type="gramStart"/>
      <w:r w:rsidR="003D308A" w:rsidRPr="00952101">
        <w:t>O</w:t>
      </w:r>
      <w:r w:rsidR="00DA3358" w:rsidRPr="00952101">
        <w:t>ther</w:t>
      </w:r>
      <w:proofErr w:type="gramEnd"/>
      <w:r w:rsidR="00DA3358" w:rsidRPr="00952101">
        <w:t xml:space="preserve"> sections (7.3%).</w:t>
      </w:r>
    </w:p>
    <w:p w:rsidR="007B29E4" w:rsidRPr="00952101" w:rsidRDefault="007B29E4" w:rsidP="00DA3358">
      <w:pPr>
        <w:jc w:val="center"/>
        <w:rPr>
          <w:b/>
          <w:bCs/>
        </w:rPr>
      </w:pPr>
    </w:p>
    <w:p w:rsidR="007B29E4" w:rsidRDefault="007B29E4" w:rsidP="00DA3358">
      <w:pPr>
        <w:jc w:val="center"/>
        <w:rPr>
          <w:b/>
          <w:bCs/>
        </w:rPr>
      </w:pPr>
    </w:p>
    <w:p w:rsidR="00620BC7" w:rsidRPr="00952101" w:rsidRDefault="00620BC7" w:rsidP="00DA3358">
      <w:pPr>
        <w:jc w:val="center"/>
        <w:rPr>
          <w:b/>
          <w:bCs/>
        </w:rPr>
      </w:pPr>
    </w:p>
    <w:p w:rsidR="00DA3358" w:rsidRPr="00952101" w:rsidRDefault="00DA3358" w:rsidP="00DA3358">
      <w:pPr>
        <w:jc w:val="center"/>
        <w:rPr>
          <w:b/>
          <w:bCs/>
          <w:color w:val="FF0000"/>
        </w:rPr>
      </w:pPr>
      <w:r w:rsidRPr="00952101">
        <w:rPr>
          <w:b/>
          <w:bCs/>
        </w:rPr>
        <w:t>1. Emission of greenhouse gases</w:t>
      </w:r>
      <w:r w:rsidRPr="00952101">
        <w:rPr>
          <w:b/>
          <w:bCs/>
          <w:vertAlign w:val="superscript"/>
        </w:rPr>
        <w:t>2)</w:t>
      </w:r>
      <w:r w:rsidRPr="00952101">
        <w:rPr>
          <w:b/>
          <w:bCs/>
        </w:rPr>
        <w:t xml:space="preserve"> </w:t>
      </w:r>
      <w:r w:rsidR="00E00260">
        <w:rPr>
          <w:b/>
          <w:bCs/>
        </w:rPr>
        <w:t>by source</w:t>
      </w:r>
    </w:p>
    <w:p w:rsidR="00DA3358" w:rsidRPr="00952101" w:rsidRDefault="00DA3358" w:rsidP="00DA3358">
      <w:pPr>
        <w:ind w:left="90"/>
        <w:jc w:val="center"/>
        <w:rPr>
          <w:b/>
          <w:bCs/>
        </w:rPr>
      </w:pPr>
    </w:p>
    <w:p w:rsidR="00DA3358" w:rsidRPr="00952101" w:rsidRDefault="00DA3358" w:rsidP="00DA3358">
      <w:pPr>
        <w:rPr>
          <w:sz w:val="18"/>
          <w:szCs w:val="18"/>
        </w:rPr>
      </w:pPr>
      <w:r w:rsidRPr="00952101">
        <w:rPr>
          <w:b/>
          <w:sz w:val="18"/>
          <w:szCs w:val="18"/>
        </w:rPr>
        <w:t xml:space="preserve">Republic of Serbia </w:t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  <w:t xml:space="preserve">                                                                           </w:t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</w:r>
      <w:r w:rsidRPr="00952101">
        <w:rPr>
          <w:b/>
          <w:sz w:val="18"/>
          <w:szCs w:val="18"/>
        </w:rPr>
        <w:tab/>
        <w:t xml:space="preserve">                                             </w:t>
      </w:r>
      <w:r w:rsidR="00E015FB">
        <w:rPr>
          <w:b/>
          <w:sz w:val="18"/>
          <w:szCs w:val="18"/>
        </w:rPr>
        <w:t xml:space="preserve">      </w:t>
      </w:r>
      <w:proofErr w:type="spellStart"/>
      <w:r w:rsidRPr="00952101">
        <w:rPr>
          <w:sz w:val="18"/>
          <w:szCs w:val="18"/>
        </w:rPr>
        <w:t>thous</w:t>
      </w:r>
      <w:proofErr w:type="spellEnd"/>
      <w:r w:rsidRPr="00952101">
        <w:rPr>
          <w:sz w:val="18"/>
          <w:szCs w:val="18"/>
        </w:rPr>
        <w:t xml:space="preserve">. </w:t>
      </w:r>
      <w:proofErr w:type="gramStart"/>
      <w:r w:rsidRPr="00952101">
        <w:rPr>
          <w:sz w:val="18"/>
          <w:szCs w:val="18"/>
        </w:rPr>
        <w:t>ton</w:t>
      </w:r>
      <w:proofErr w:type="gramEnd"/>
      <w:r w:rsidRPr="00952101">
        <w:rPr>
          <w:sz w:val="18"/>
          <w:szCs w:val="18"/>
        </w:rPr>
        <w:t xml:space="preserve"> (Gg)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1"/>
        <w:gridCol w:w="2352"/>
      </w:tblGrid>
      <w:tr w:rsidR="00DA3358" w:rsidRPr="00952101" w:rsidTr="005171EE">
        <w:trPr>
          <w:trHeight w:val="20"/>
          <w:jc w:val="center"/>
        </w:trPr>
        <w:tc>
          <w:tcPr>
            <w:tcW w:w="3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58" w:rsidRPr="00952101" w:rsidRDefault="00DA3358" w:rsidP="005171EE">
            <w:pPr>
              <w:spacing w:before="120"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358" w:rsidRPr="00952101" w:rsidRDefault="00DA3358" w:rsidP="005171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2101">
              <w:rPr>
                <w:sz w:val="16"/>
                <w:szCs w:val="16"/>
              </w:rPr>
              <w:t>CO</w:t>
            </w:r>
            <w:r w:rsidRPr="00952101">
              <w:rPr>
                <w:sz w:val="16"/>
                <w:szCs w:val="16"/>
                <w:vertAlign w:val="subscript"/>
              </w:rPr>
              <w:t>2</w:t>
            </w:r>
          </w:p>
        </w:tc>
      </w:tr>
      <w:tr w:rsidR="00DA3358" w:rsidRPr="00952101" w:rsidTr="005171EE">
        <w:trPr>
          <w:trHeight w:val="20"/>
          <w:jc w:val="center"/>
        </w:trPr>
        <w:tc>
          <w:tcPr>
            <w:tcW w:w="38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358" w:rsidRPr="00952101" w:rsidRDefault="00DA3358" w:rsidP="005171E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358" w:rsidRPr="00952101" w:rsidRDefault="00DA3358" w:rsidP="005171E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DA3358" w:rsidRPr="00952101" w:rsidTr="005171EE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358" w:rsidRPr="00952101" w:rsidRDefault="00DA3358" w:rsidP="005171EE">
            <w:pPr>
              <w:spacing w:line="276" w:lineRule="auto"/>
              <w:rPr>
                <w:b/>
                <w:sz w:val="16"/>
                <w:szCs w:val="16"/>
              </w:rPr>
            </w:pPr>
            <w:r w:rsidRPr="00952101">
              <w:rPr>
                <w:b/>
                <w:sz w:val="16"/>
                <w:szCs w:val="16"/>
              </w:rPr>
              <w:t>Total</w:t>
            </w:r>
            <w:r w:rsidR="00E00260" w:rsidRPr="00E00260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358" w:rsidRPr="00952101" w:rsidRDefault="00DA3358" w:rsidP="005171EE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</w:rPr>
            </w:pPr>
            <w:r w:rsidRPr="00952101">
              <w:rPr>
                <w:b/>
                <w:sz w:val="16"/>
                <w:szCs w:val="16"/>
              </w:rPr>
              <w:t>48699,6</w:t>
            </w:r>
          </w:p>
        </w:tc>
      </w:tr>
      <w:tr w:rsidR="00DA3358" w:rsidRPr="00952101" w:rsidTr="005171EE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358" w:rsidRPr="00952101" w:rsidRDefault="00DA3358" w:rsidP="00DA3358">
            <w:pPr>
              <w:spacing w:line="276" w:lineRule="auto"/>
              <w:rPr>
                <w:b/>
                <w:sz w:val="16"/>
                <w:szCs w:val="16"/>
              </w:rPr>
            </w:pPr>
            <w:r w:rsidRPr="00952101">
              <w:rPr>
                <w:b/>
                <w:sz w:val="16"/>
                <w:szCs w:val="16"/>
              </w:rPr>
              <w:t xml:space="preserve">  By CA sections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358" w:rsidRPr="00952101" w:rsidRDefault="00DA3358" w:rsidP="005171EE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</w:rPr>
            </w:pPr>
            <w:r w:rsidRPr="00952101">
              <w:rPr>
                <w:b/>
                <w:sz w:val="16"/>
                <w:szCs w:val="16"/>
              </w:rPr>
              <w:t>42272,6</w:t>
            </w:r>
          </w:p>
        </w:tc>
      </w:tr>
      <w:tr w:rsidR="00DA3358" w:rsidRPr="00952101" w:rsidTr="005171EE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358" w:rsidRPr="00952101" w:rsidRDefault="00DA3358" w:rsidP="005171EE">
            <w:pPr>
              <w:spacing w:line="276" w:lineRule="auto"/>
              <w:ind w:left="170"/>
              <w:rPr>
                <w:sz w:val="16"/>
                <w:szCs w:val="16"/>
              </w:rPr>
            </w:pPr>
            <w:r w:rsidRPr="00952101">
              <w:rPr>
                <w:sz w:val="16"/>
                <w:szCs w:val="16"/>
              </w:rPr>
              <w:t>Agriculture, forestry and fishing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358" w:rsidRPr="00952101" w:rsidRDefault="00B161BD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sr-Latn-RS"/>
              </w:rPr>
              <w:t>479,2</w:t>
            </w:r>
          </w:p>
        </w:tc>
      </w:tr>
      <w:tr w:rsidR="00DA3358" w:rsidRPr="00952101" w:rsidTr="005171EE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358" w:rsidRPr="00952101" w:rsidRDefault="00DA3358" w:rsidP="005171EE">
            <w:pPr>
              <w:spacing w:line="276" w:lineRule="auto"/>
              <w:ind w:left="170"/>
              <w:rPr>
                <w:sz w:val="16"/>
                <w:szCs w:val="16"/>
              </w:rPr>
            </w:pPr>
            <w:r w:rsidRPr="00952101">
              <w:rPr>
                <w:sz w:val="16"/>
                <w:szCs w:val="16"/>
              </w:rPr>
              <w:t>Mining and quarrying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358" w:rsidRPr="00952101" w:rsidRDefault="00DA3358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1404,7</w:t>
            </w:r>
          </w:p>
        </w:tc>
      </w:tr>
      <w:tr w:rsidR="00DA3358" w:rsidRPr="00952101" w:rsidTr="005171EE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358" w:rsidRPr="00952101" w:rsidRDefault="00DA3358" w:rsidP="005171EE">
            <w:pPr>
              <w:spacing w:line="276" w:lineRule="auto"/>
              <w:ind w:left="170"/>
              <w:rPr>
                <w:sz w:val="16"/>
                <w:szCs w:val="16"/>
              </w:rPr>
            </w:pPr>
            <w:r w:rsidRPr="00952101">
              <w:rPr>
                <w:sz w:val="16"/>
                <w:szCs w:val="16"/>
              </w:rPr>
              <w:t>Manufacturing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358" w:rsidRPr="00952101" w:rsidRDefault="00DA3358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6171,5</w:t>
            </w:r>
          </w:p>
        </w:tc>
      </w:tr>
      <w:tr w:rsidR="00DA3358" w:rsidRPr="00952101" w:rsidTr="005171EE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358" w:rsidRPr="00952101" w:rsidRDefault="00DA3358" w:rsidP="005171EE">
            <w:pPr>
              <w:spacing w:line="276" w:lineRule="auto"/>
              <w:ind w:left="170"/>
              <w:rPr>
                <w:sz w:val="16"/>
                <w:szCs w:val="16"/>
              </w:rPr>
            </w:pPr>
            <w:r w:rsidRPr="00952101">
              <w:rPr>
                <w:sz w:val="16"/>
                <w:szCs w:val="16"/>
              </w:rPr>
              <w:t>Electricity, gas, steam and air conditioning supply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358" w:rsidRPr="00952101" w:rsidRDefault="00DA3358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32290,8</w:t>
            </w:r>
          </w:p>
        </w:tc>
      </w:tr>
      <w:tr w:rsidR="00DA3358" w:rsidRPr="00952101" w:rsidTr="005171EE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358" w:rsidRPr="00952101" w:rsidRDefault="00DA3358" w:rsidP="005171EE">
            <w:pPr>
              <w:spacing w:line="276" w:lineRule="auto"/>
              <w:ind w:left="170"/>
              <w:rPr>
                <w:sz w:val="16"/>
                <w:szCs w:val="16"/>
              </w:rPr>
            </w:pPr>
            <w:r w:rsidRPr="00952101">
              <w:rPr>
                <w:sz w:val="16"/>
                <w:szCs w:val="16"/>
              </w:rPr>
              <w:t>Transport and storage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358" w:rsidRPr="00952101" w:rsidRDefault="00B161BD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sr-Latn-RS"/>
              </w:rPr>
              <w:t>786,9</w:t>
            </w:r>
          </w:p>
        </w:tc>
      </w:tr>
      <w:tr w:rsidR="00DA3358" w:rsidRPr="00952101" w:rsidTr="005171EE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358" w:rsidRPr="00952101" w:rsidRDefault="00DA3358" w:rsidP="005171EE">
            <w:pPr>
              <w:spacing w:line="276" w:lineRule="auto"/>
              <w:ind w:left="170"/>
              <w:rPr>
                <w:sz w:val="16"/>
                <w:szCs w:val="16"/>
              </w:rPr>
            </w:pPr>
            <w:r w:rsidRPr="00952101">
              <w:rPr>
                <w:sz w:val="16"/>
                <w:szCs w:val="16"/>
              </w:rPr>
              <w:t>Other sections</w:t>
            </w:r>
            <w:r w:rsidRPr="00952101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358" w:rsidRPr="00952101" w:rsidRDefault="00DA3358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1139,5</w:t>
            </w:r>
          </w:p>
        </w:tc>
      </w:tr>
      <w:tr w:rsidR="00DA3358" w:rsidRPr="00952101" w:rsidTr="005171EE">
        <w:trPr>
          <w:trHeight w:val="20"/>
          <w:jc w:val="center"/>
        </w:trPr>
        <w:tc>
          <w:tcPr>
            <w:tcW w:w="3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358" w:rsidRPr="00952101" w:rsidRDefault="00DA3358" w:rsidP="00DA3358">
            <w:pPr>
              <w:spacing w:line="276" w:lineRule="auto"/>
              <w:rPr>
                <w:b/>
                <w:sz w:val="16"/>
                <w:szCs w:val="16"/>
              </w:rPr>
            </w:pPr>
            <w:r w:rsidRPr="00952101">
              <w:rPr>
                <w:b/>
                <w:sz w:val="16"/>
                <w:szCs w:val="16"/>
              </w:rPr>
              <w:t xml:space="preserve">  Households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358" w:rsidRPr="00952101" w:rsidRDefault="00DA3358" w:rsidP="00B161BD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</w:rPr>
            </w:pPr>
            <w:r w:rsidRPr="00952101">
              <w:rPr>
                <w:b/>
                <w:sz w:val="16"/>
                <w:szCs w:val="16"/>
              </w:rPr>
              <w:t>642</w:t>
            </w:r>
            <w:r w:rsidR="00B161BD">
              <w:rPr>
                <w:b/>
                <w:sz w:val="16"/>
                <w:szCs w:val="16"/>
              </w:rPr>
              <w:t>7</w:t>
            </w:r>
            <w:r w:rsidRPr="00952101">
              <w:rPr>
                <w:b/>
                <w:sz w:val="16"/>
                <w:szCs w:val="16"/>
              </w:rPr>
              <w:t>,0</w:t>
            </w:r>
          </w:p>
        </w:tc>
      </w:tr>
    </w:tbl>
    <w:p w:rsidR="00DA3358" w:rsidRPr="00952101" w:rsidRDefault="00DA3358" w:rsidP="00DA3358">
      <w:pPr>
        <w:tabs>
          <w:tab w:val="left" w:pos="9990"/>
        </w:tabs>
        <w:ind w:left="113" w:hanging="113"/>
        <w:rPr>
          <w:sz w:val="14"/>
          <w:szCs w:val="14"/>
        </w:rPr>
      </w:pPr>
    </w:p>
    <w:p w:rsidR="00DA3358" w:rsidRPr="00952101" w:rsidRDefault="00DA3358" w:rsidP="00DA3358">
      <w:pPr>
        <w:tabs>
          <w:tab w:val="left" w:pos="9990"/>
        </w:tabs>
        <w:ind w:left="113" w:hanging="113"/>
        <w:rPr>
          <w:sz w:val="14"/>
          <w:szCs w:val="14"/>
        </w:rPr>
      </w:pPr>
      <w:r w:rsidRPr="00952101">
        <w:rPr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1B16D" wp14:editId="7E005997">
                <wp:simplePos x="0" y="0"/>
                <wp:positionH relativeFrom="column">
                  <wp:posOffset>14605</wp:posOffset>
                </wp:positionH>
                <wp:positionV relativeFrom="paragraph">
                  <wp:posOffset>39370</wp:posOffset>
                </wp:positionV>
                <wp:extent cx="10541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5FC2F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.1pt" to="84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" strokecolor="black [3213]" strokeweight=".25pt"/>
            </w:pict>
          </mc:Fallback>
        </mc:AlternateContent>
      </w:r>
    </w:p>
    <w:p w:rsidR="00DA3358" w:rsidRPr="00952101" w:rsidRDefault="00DA3358" w:rsidP="00DA3358">
      <w:pPr>
        <w:tabs>
          <w:tab w:val="left" w:pos="9990"/>
        </w:tabs>
        <w:ind w:left="113" w:hanging="113"/>
        <w:rPr>
          <w:sz w:val="14"/>
          <w:szCs w:val="14"/>
        </w:rPr>
      </w:pPr>
      <w:r w:rsidRPr="00952101">
        <w:rPr>
          <w:sz w:val="14"/>
          <w:szCs w:val="14"/>
          <w:vertAlign w:val="superscript"/>
        </w:rPr>
        <w:t>1)</w:t>
      </w:r>
      <w:r w:rsidRPr="00952101">
        <w:rPr>
          <w:sz w:val="14"/>
          <w:szCs w:val="14"/>
        </w:rPr>
        <w:t xml:space="preserve"> Data source: Serbian Environmental Protection Agency.</w:t>
      </w:r>
    </w:p>
    <w:p w:rsidR="00DA3358" w:rsidRPr="00952101" w:rsidRDefault="00DA3358" w:rsidP="00DA3358">
      <w:pPr>
        <w:tabs>
          <w:tab w:val="left" w:pos="9990"/>
        </w:tabs>
        <w:ind w:left="113" w:hanging="113"/>
        <w:rPr>
          <w:sz w:val="14"/>
          <w:szCs w:val="14"/>
        </w:rPr>
      </w:pPr>
      <w:r w:rsidRPr="00952101">
        <w:rPr>
          <w:sz w:val="14"/>
          <w:szCs w:val="14"/>
          <w:vertAlign w:val="superscript"/>
        </w:rPr>
        <w:t>2)</w:t>
      </w:r>
      <w:r w:rsidRPr="00952101">
        <w:rPr>
          <w:sz w:val="14"/>
          <w:szCs w:val="14"/>
        </w:rPr>
        <w:t xml:space="preserve"> Emission of greenhouse gases covers: CO</w:t>
      </w:r>
      <w:r w:rsidRPr="004717D1">
        <w:rPr>
          <w:sz w:val="14"/>
          <w:szCs w:val="14"/>
          <w:vertAlign w:val="subscript"/>
        </w:rPr>
        <w:t>2</w:t>
      </w:r>
      <w:r w:rsidRPr="00952101">
        <w:rPr>
          <w:sz w:val="14"/>
          <w:szCs w:val="14"/>
        </w:rPr>
        <w:t>, N</w:t>
      </w:r>
      <w:r w:rsidRPr="00952101">
        <w:rPr>
          <w:sz w:val="14"/>
          <w:szCs w:val="14"/>
          <w:vertAlign w:val="subscript"/>
        </w:rPr>
        <w:t>2</w:t>
      </w:r>
      <w:r w:rsidRPr="00952101">
        <w:rPr>
          <w:sz w:val="14"/>
          <w:szCs w:val="14"/>
        </w:rPr>
        <w:t>O, CH</w:t>
      </w:r>
      <w:r w:rsidRPr="00952101">
        <w:rPr>
          <w:sz w:val="14"/>
          <w:szCs w:val="14"/>
          <w:vertAlign w:val="subscript"/>
        </w:rPr>
        <w:t>4</w:t>
      </w:r>
      <w:r w:rsidRPr="00952101">
        <w:rPr>
          <w:sz w:val="14"/>
          <w:szCs w:val="14"/>
        </w:rPr>
        <w:t>, HFC, PFC, SF</w:t>
      </w:r>
      <w:r w:rsidRPr="00952101">
        <w:rPr>
          <w:sz w:val="14"/>
          <w:szCs w:val="14"/>
          <w:vertAlign w:val="subscript"/>
        </w:rPr>
        <w:t>6</w:t>
      </w:r>
      <w:r w:rsidRPr="00952101">
        <w:rPr>
          <w:sz w:val="14"/>
          <w:szCs w:val="14"/>
        </w:rPr>
        <w:t>, and presented is the emission of CO</w:t>
      </w:r>
      <w:r w:rsidRPr="00952101">
        <w:rPr>
          <w:sz w:val="14"/>
          <w:szCs w:val="14"/>
          <w:vertAlign w:val="subscript"/>
        </w:rPr>
        <w:t>2</w:t>
      </w:r>
      <w:r w:rsidRPr="00952101">
        <w:rPr>
          <w:sz w:val="14"/>
          <w:szCs w:val="14"/>
        </w:rPr>
        <w:t xml:space="preserve"> only.</w:t>
      </w:r>
    </w:p>
    <w:p w:rsidR="00D144FC" w:rsidRDefault="00D144FC" w:rsidP="00DA3358">
      <w:pPr>
        <w:jc w:val="center"/>
        <w:rPr>
          <w:sz w:val="14"/>
          <w:szCs w:val="14"/>
          <w:vertAlign w:val="superscript"/>
        </w:rPr>
      </w:pPr>
    </w:p>
    <w:p w:rsidR="009E4E5C" w:rsidRDefault="009E4E5C" w:rsidP="00DA3358">
      <w:pPr>
        <w:jc w:val="center"/>
        <w:rPr>
          <w:sz w:val="14"/>
          <w:szCs w:val="14"/>
          <w:vertAlign w:val="superscript"/>
        </w:rPr>
      </w:pPr>
    </w:p>
    <w:p w:rsidR="009E4E5C" w:rsidRDefault="009E4E5C" w:rsidP="00DA3358">
      <w:pPr>
        <w:jc w:val="center"/>
        <w:rPr>
          <w:sz w:val="14"/>
          <w:szCs w:val="14"/>
          <w:vertAlign w:val="superscript"/>
        </w:rPr>
      </w:pPr>
    </w:p>
    <w:p w:rsidR="009E4E5C" w:rsidRDefault="009E4E5C" w:rsidP="00DA3358">
      <w:pPr>
        <w:jc w:val="center"/>
        <w:rPr>
          <w:sz w:val="14"/>
          <w:szCs w:val="14"/>
          <w:vertAlign w:val="superscript"/>
        </w:rPr>
      </w:pPr>
      <w:bookmarkStart w:id="0" w:name="_GoBack"/>
      <w:bookmarkEnd w:id="0"/>
    </w:p>
    <w:p w:rsidR="00DA3358" w:rsidRPr="00952101" w:rsidRDefault="00DA3358" w:rsidP="00DA3358">
      <w:pPr>
        <w:jc w:val="center"/>
        <w:rPr>
          <w:b/>
          <w:bCs/>
        </w:rPr>
      </w:pPr>
      <w:r w:rsidRPr="00952101">
        <w:rPr>
          <w:b/>
          <w:bCs/>
        </w:rPr>
        <w:lastRenderedPageBreak/>
        <w:t>2. Air emissions of pollutants</w:t>
      </w:r>
      <w:r w:rsidR="00E00260" w:rsidRPr="00E00260">
        <w:rPr>
          <w:b/>
          <w:bCs/>
          <w:vertAlign w:val="superscript"/>
        </w:rPr>
        <w:t>2)</w:t>
      </w:r>
      <w:r w:rsidR="00E00260">
        <w:rPr>
          <w:b/>
          <w:bCs/>
        </w:rPr>
        <w:t xml:space="preserve"> by source</w:t>
      </w:r>
      <w:r w:rsidRPr="00952101">
        <w:rPr>
          <w:b/>
          <w:bCs/>
        </w:rPr>
        <w:t>, 201</w:t>
      </w:r>
      <w:r w:rsidR="00FF3820" w:rsidRPr="00952101">
        <w:rPr>
          <w:b/>
          <w:bCs/>
        </w:rPr>
        <w:t>5</w:t>
      </w:r>
    </w:p>
    <w:p w:rsidR="00DA3358" w:rsidRPr="00952101" w:rsidRDefault="00FF3820" w:rsidP="00DA3358">
      <w:pPr>
        <w:rPr>
          <w:sz w:val="16"/>
          <w:szCs w:val="16"/>
          <w:vertAlign w:val="superscript"/>
        </w:rPr>
      </w:pPr>
      <w:r w:rsidRPr="00952101">
        <w:rPr>
          <w:b/>
          <w:sz w:val="18"/>
          <w:szCs w:val="18"/>
        </w:rPr>
        <w:t>Republic of Serbia</w:t>
      </w:r>
      <w:r w:rsidR="00DA3358" w:rsidRPr="00952101">
        <w:rPr>
          <w:b/>
          <w:sz w:val="18"/>
          <w:szCs w:val="18"/>
        </w:rPr>
        <w:tab/>
      </w:r>
      <w:r w:rsidR="00DA3358" w:rsidRPr="00952101">
        <w:rPr>
          <w:b/>
          <w:sz w:val="18"/>
          <w:szCs w:val="18"/>
        </w:rPr>
        <w:tab/>
      </w:r>
      <w:r w:rsidR="00DA3358" w:rsidRPr="00952101">
        <w:rPr>
          <w:b/>
          <w:sz w:val="18"/>
          <w:szCs w:val="18"/>
        </w:rPr>
        <w:tab/>
      </w:r>
      <w:r w:rsidR="00DA3358" w:rsidRPr="00952101">
        <w:rPr>
          <w:b/>
          <w:sz w:val="18"/>
          <w:szCs w:val="18"/>
        </w:rPr>
        <w:tab/>
      </w:r>
      <w:r w:rsidR="00DA3358" w:rsidRPr="00952101">
        <w:rPr>
          <w:b/>
          <w:sz w:val="18"/>
          <w:szCs w:val="18"/>
        </w:rPr>
        <w:tab/>
      </w:r>
      <w:r w:rsidR="00DA3358" w:rsidRPr="00952101">
        <w:rPr>
          <w:b/>
          <w:sz w:val="18"/>
          <w:szCs w:val="18"/>
        </w:rPr>
        <w:tab/>
      </w:r>
      <w:r w:rsidR="00DA3358" w:rsidRPr="00952101">
        <w:rPr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</w:t>
      </w:r>
      <w:r w:rsidR="00BF2E14">
        <w:rPr>
          <w:b/>
          <w:sz w:val="18"/>
          <w:szCs w:val="18"/>
        </w:rPr>
        <w:t xml:space="preserve">        </w:t>
      </w:r>
      <w:r w:rsidR="00DA3358" w:rsidRPr="00952101">
        <w:rPr>
          <w:b/>
          <w:sz w:val="18"/>
          <w:szCs w:val="18"/>
        </w:rPr>
        <w:t xml:space="preserve">   </w:t>
      </w:r>
      <w:proofErr w:type="spellStart"/>
      <w:r w:rsidRPr="00952101">
        <w:rPr>
          <w:sz w:val="18"/>
          <w:szCs w:val="18"/>
        </w:rPr>
        <w:t>thous</w:t>
      </w:r>
      <w:proofErr w:type="spellEnd"/>
      <w:r w:rsidRPr="00952101">
        <w:rPr>
          <w:sz w:val="18"/>
          <w:szCs w:val="18"/>
        </w:rPr>
        <w:t xml:space="preserve">. </w:t>
      </w:r>
      <w:proofErr w:type="gramStart"/>
      <w:r w:rsidRPr="00952101">
        <w:rPr>
          <w:sz w:val="18"/>
          <w:szCs w:val="18"/>
        </w:rPr>
        <w:t>ton</w:t>
      </w:r>
      <w:proofErr w:type="gramEnd"/>
      <w:r w:rsidR="00DA3358" w:rsidRPr="00952101">
        <w:rPr>
          <w:sz w:val="18"/>
          <w:szCs w:val="18"/>
        </w:rPr>
        <w:t xml:space="preserve"> (Gg)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5"/>
        <w:gridCol w:w="1750"/>
        <w:gridCol w:w="1589"/>
        <w:gridCol w:w="1569"/>
      </w:tblGrid>
      <w:tr w:rsidR="00DA3358" w:rsidRPr="00952101" w:rsidTr="005171EE">
        <w:trPr>
          <w:trHeight w:val="415"/>
          <w:jc w:val="center"/>
        </w:trPr>
        <w:tc>
          <w:tcPr>
            <w:tcW w:w="2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58" w:rsidRPr="00952101" w:rsidRDefault="00DA3358" w:rsidP="005171EE">
            <w:pPr>
              <w:spacing w:before="120" w:after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58" w:rsidRPr="00952101" w:rsidRDefault="00DA3358" w:rsidP="005171EE">
            <w:pPr>
              <w:spacing w:before="120" w:after="120" w:line="276" w:lineRule="auto"/>
              <w:jc w:val="center"/>
              <w:rPr>
                <w:sz w:val="16"/>
                <w:szCs w:val="16"/>
              </w:rPr>
            </w:pPr>
            <w:r w:rsidRPr="00952101">
              <w:rPr>
                <w:sz w:val="16"/>
                <w:szCs w:val="16"/>
              </w:rPr>
              <w:t>NOᵪ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58" w:rsidRPr="00952101" w:rsidRDefault="00DA3358" w:rsidP="005171EE">
            <w:pPr>
              <w:spacing w:before="120" w:after="120" w:line="276" w:lineRule="auto"/>
              <w:jc w:val="center"/>
              <w:rPr>
                <w:sz w:val="16"/>
                <w:szCs w:val="16"/>
              </w:rPr>
            </w:pPr>
            <w:r w:rsidRPr="00952101">
              <w:rPr>
                <w:sz w:val="16"/>
                <w:szCs w:val="16"/>
              </w:rPr>
              <w:t>SOᵪ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3358" w:rsidRPr="00952101" w:rsidRDefault="00DA3358" w:rsidP="005171EE">
            <w:pPr>
              <w:spacing w:before="120" w:after="120" w:line="276" w:lineRule="auto"/>
              <w:jc w:val="center"/>
              <w:rPr>
                <w:sz w:val="16"/>
                <w:szCs w:val="16"/>
              </w:rPr>
            </w:pPr>
            <w:r w:rsidRPr="00952101">
              <w:rPr>
                <w:sz w:val="16"/>
                <w:szCs w:val="16"/>
              </w:rPr>
              <w:t>CO</w:t>
            </w:r>
          </w:p>
        </w:tc>
      </w:tr>
      <w:tr w:rsidR="00DA3358" w:rsidRPr="00952101" w:rsidTr="005171EE">
        <w:trPr>
          <w:trHeight w:val="20"/>
          <w:jc w:val="center"/>
        </w:trPr>
        <w:tc>
          <w:tcPr>
            <w:tcW w:w="2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358" w:rsidRPr="00952101" w:rsidRDefault="00DA3358" w:rsidP="005171E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3358" w:rsidRPr="00952101" w:rsidRDefault="00DA3358" w:rsidP="005171E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358" w:rsidRPr="00952101" w:rsidRDefault="00DA3358" w:rsidP="005171E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358" w:rsidRPr="00952101" w:rsidRDefault="00DA3358" w:rsidP="005171EE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DA3358" w:rsidRPr="00952101" w:rsidTr="005171EE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358" w:rsidRPr="00952101" w:rsidRDefault="00FF3820" w:rsidP="005171EE">
            <w:pPr>
              <w:spacing w:line="276" w:lineRule="auto"/>
              <w:rPr>
                <w:b/>
                <w:sz w:val="16"/>
                <w:szCs w:val="16"/>
              </w:rPr>
            </w:pPr>
            <w:r w:rsidRPr="00952101">
              <w:rPr>
                <w:b/>
                <w:sz w:val="16"/>
                <w:szCs w:val="16"/>
              </w:rPr>
              <w:t>Total</w:t>
            </w:r>
            <w:r w:rsidR="00E00260" w:rsidRPr="00E00260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3358" w:rsidRPr="00952101" w:rsidRDefault="00DA3358" w:rsidP="005171EE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</w:rPr>
            </w:pPr>
            <w:r w:rsidRPr="00952101">
              <w:rPr>
                <w:b/>
                <w:sz w:val="16"/>
                <w:szCs w:val="16"/>
              </w:rPr>
              <w:t>143,6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58" w:rsidRPr="00952101" w:rsidRDefault="00DA3358" w:rsidP="005171EE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</w:rPr>
            </w:pPr>
            <w:r w:rsidRPr="00952101">
              <w:rPr>
                <w:b/>
                <w:sz w:val="16"/>
                <w:szCs w:val="16"/>
              </w:rPr>
              <w:t>415,5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58" w:rsidRPr="00952101" w:rsidRDefault="00DA3358" w:rsidP="005171EE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</w:rPr>
            </w:pPr>
            <w:r w:rsidRPr="00952101">
              <w:rPr>
                <w:b/>
                <w:sz w:val="16"/>
                <w:szCs w:val="16"/>
              </w:rPr>
              <w:t>277,3</w:t>
            </w:r>
          </w:p>
        </w:tc>
      </w:tr>
      <w:tr w:rsidR="00DA3358" w:rsidRPr="00952101" w:rsidTr="005171EE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358" w:rsidRPr="00952101" w:rsidRDefault="00DA3358" w:rsidP="005171EE">
            <w:pPr>
              <w:spacing w:line="276" w:lineRule="auto"/>
              <w:rPr>
                <w:b/>
                <w:sz w:val="16"/>
                <w:szCs w:val="16"/>
              </w:rPr>
            </w:pPr>
            <w:r w:rsidRPr="00952101">
              <w:rPr>
                <w:b/>
                <w:sz w:val="16"/>
                <w:szCs w:val="16"/>
              </w:rPr>
              <w:t xml:space="preserve">  </w:t>
            </w:r>
            <w:r w:rsidR="00FF3820" w:rsidRPr="00952101">
              <w:rPr>
                <w:b/>
                <w:sz w:val="16"/>
                <w:szCs w:val="16"/>
              </w:rPr>
              <w:t>By CA sections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3358" w:rsidRPr="00952101" w:rsidRDefault="00DA3358" w:rsidP="005171EE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</w:rPr>
            </w:pPr>
            <w:r w:rsidRPr="00952101">
              <w:rPr>
                <w:b/>
                <w:sz w:val="16"/>
                <w:szCs w:val="16"/>
              </w:rPr>
              <w:t>110,5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58" w:rsidRPr="00952101" w:rsidRDefault="00DA3358" w:rsidP="005171EE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</w:rPr>
            </w:pPr>
            <w:r w:rsidRPr="00952101">
              <w:rPr>
                <w:b/>
                <w:sz w:val="16"/>
                <w:szCs w:val="16"/>
              </w:rPr>
              <w:t>409,6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58" w:rsidRPr="00952101" w:rsidRDefault="00DA3358" w:rsidP="005171EE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</w:rPr>
            </w:pPr>
            <w:r w:rsidRPr="00952101">
              <w:rPr>
                <w:b/>
                <w:sz w:val="16"/>
                <w:szCs w:val="16"/>
              </w:rPr>
              <w:t>48,9</w:t>
            </w:r>
          </w:p>
        </w:tc>
      </w:tr>
      <w:tr w:rsidR="00FF3820" w:rsidRPr="00952101" w:rsidTr="005171EE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820" w:rsidRPr="00952101" w:rsidRDefault="00FF3820" w:rsidP="005171EE">
            <w:pPr>
              <w:spacing w:line="276" w:lineRule="auto"/>
              <w:ind w:left="170"/>
              <w:rPr>
                <w:sz w:val="16"/>
                <w:szCs w:val="16"/>
              </w:rPr>
            </w:pPr>
            <w:r w:rsidRPr="00952101">
              <w:rPr>
                <w:sz w:val="16"/>
                <w:szCs w:val="16"/>
              </w:rPr>
              <w:t>Agriculture, forestry and fishing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9,8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0,1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0,9</w:t>
            </w:r>
          </w:p>
        </w:tc>
      </w:tr>
      <w:tr w:rsidR="00FF3820" w:rsidRPr="00952101" w:rsidTr="005171EE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820" w:rsidRPr="00952101" w:rsidRDefault="00FF3820" w:rsidP="005171EE">
            <w:pPr>
              <w:spacing w:line="276" w:lineRule="auto"/>
              <w:ind w:left="170"/>
              <w:rPr>
                <w:sz w:val="16"/>
                <w:szCs w:val="16"/>
              </w:rPr>
            </w:pPr>
            <w:r w:rsidRPr="00952101">
              <w:rPr>
                <w:sz w:val="16"/>
                <w:szCs w:val="16"/>
              </w:rPr>
              <w:t>Mining and quarrying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0,4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0,6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0,2</w:t>
            </w:r>
          </w:p>
        </w:tc>
      </w:tr>
      <w:tr w:rsidR="00FF3820" w:rsidRPr="00952101" w:rsidTr="005171EE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820" w:rsidRPr="00952101" w:rsidRDefault="00FF3820" w:rsidP="005171EE">
            <w:pPr>
              <w:spacing w:line="276" w:lineRule="auto"/>
              <w:ind w:left="170"/>
              <w:rPr>
                <w:sz w:val="16"/>
                <w:szCs w:val="16"/>
              </w:rPr>
            </w:pPr>
            <w:r w:rsidRPr="00952101">
              <w:rPr>
                <w:sz w:val="16"/>
                <w:szCs w:val="16"/>
              </w:rPr>
              <w:t>Manufacturing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15,4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9,0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35,8</w:t>
            </w:r>
          </w:p>
        </w:tc>
      </w:tr>
      <w:tr w:rsidR="00FF3820" w:rsidRPr="00952101" w:rsidTr="005171EE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820" w:rsidRPr="00952101" w:rsidRDefault="00FF3820" w:rsidP="005171EE">
            <w:pPr>
              <w:spacing w:line="276" w:lineRule="auto"/>
              <w:ind w:left="170"/>
              <w:rPr>
                <w:sz w:val="16"/>
                <w:szCs w:val="16"/>
              </w:rPr>
            </w:pPr>
            <w:r w:rsidRPr="00952101">
              <w:rPr>
                <w:sz w:val="16"/>
                <w:szCs w:val="16"/>
              </w:rPr>
              <w:t>Electricity, gas, steam and air conditioning supply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74,9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397,0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3,6</w:t>
            </w:r>
          </w:p>
        </w:tc>
      </w:tr>
      <w:tr w:rsidR="00FF3820" w:rsidRPr="00952101" w:rsidTr="005171EE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820" w:rsidRPr="00952101" w:rsidRDefault="00FF3820" w:rsidP="005171EE">
            <w:pPr>
              <w:spacing w:line="276" w:lineRule="auto"/>
              <w:ind w:left="170"/>
              <w:rPr>
                <w:sz w:val="16"/>
                <w:szCs w:val="16"/>
              </w:rPr>
            </w:pPr>
            <w:r w:rsidRPr="00952101">
              <w:rPr>
                <w:sz w:val="16"/>
                <w:szCs w:val="16"/>
              </w:rPr>
              <w:t>Transport and storage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3,0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0,3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1,9</w:t>
            </w:r>
          </w:p>
        </w:tc>
      </w:tr>
      <w:tr w:rsidR="00FF3820" w:rsidRPr="00952101" w:rsidTr="005171EE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820" w:rsidRPr="00952101" w:rsidRDefault="00FF3820" w:rsidP="005171EE">
            <w:pPr>
              <w:spacing w:line="276" w:lineRule="auto"/>
              <w:ind w:left="170"/>
              <w:rPr>
                <w:sz w:val="16"/>
                <w:szCs w:val="16"/>
              </w:rPr>
            </w:pPr>
            <w:r w:rsidRPr="00952101">
              <w:rPr>
                <w:sz w:val="16"/>
                <w:szCs w:val="16"/>
              </w:rPr>
              <w:t>Other sections</w:t>
            </w:r>
            <w:r w:rsidRPr="00952101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7,0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2,5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820" w:rsidRPr="00952101" w:rsidRDefault="00FF3820" w:rsidP="005171EE">
            <w:pPr>
              <w:spacing w:line="276" w:lineRule="auto"/>
              <w:ind w:right="170"/>
              <w:jc w:val="right"/>
              <w:rPr>
                <w:sz w:val="16"/>
                <w:szCs w:val="16"/>
                <w:highlight w:val="yellow"/>
              </w:rPr>
            </w:pPr>
            <w:r w:rsidRPr="00952101">
              <w:rPr>
                <w:sz w:val="16"/>
                <w:szCs w:val="16"/>
              </w:rPr>
              <w:t>6,6</w:t>
            </w:r>
          </w:p>
        </w:tc>
      </w:tr>
      <w:tr w:rsidR="00DA3358" w:rsidRPr="00952101" w:rsidTr="005171EE">
        <w:trPr>
          <w:trHeight w:val="20"/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3358" w:rsidRPr="00952101" w:rsidRDefault="00FF3820" w:rsidP="005171EE">
            <w:pPr>
              <w:spacing w:line="276" w:lineRule="auto"/>
              <w:rPr>
                <w:b/>
                <w:sz w:val="16"/>
                <w:szCs w:val="16"/>
              </w:rPr>
            </w:pPr>
            <w:r w:rsidRPr="00952101">
              <w:rPr>
                <w:b/>
                <w:sz w:val="16"/>
                <w:szCs w:val="16"/>
              </w:rPr>
              <w:t>Households</w:t>
            </w:r>
            <w:r w:rsidR="00DA3358" w:rsidRPr="0095210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3358" w:rsidRPr="00952101" w:rsidRDefault="00DA3358" w:rsidP="005171EE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</w:rPr>
            </w:pPr>
            <w:r w:rsidRPr="00952101">
              <w:rPr>
                <w:b/>
                <w:sz w:val="16"/>
                <w:szCs w:val="16"/>
              </w:rPr>
              <w:t>33,1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58" w:rsidRPr="00952101" w:rsidRDefault="00DA3358" w:rsidP="005171EE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</w:rPr>
            </w:pPr>
            <w:r w:rsidRPr="00952101">
              <w:rPr>
                <w:b/>
                <w:sz w:val="16"/>
                <w:szCs w:val="16"/>
              </w:rPr>
              <w:t>5,9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358" w:rsidRPr="00952101" w:rsidRDefault="00DA3358" w:rsidP="005171EE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highlight w:val="yellow"/>
              </w:rPr>
            </w:pPr>
            <w:r w:rsidRPr="00952101">
              <w:rPr>
                <w:b/>
                <w:sz w:val="16"/>
                <w:szCs w:val="16"/>
              </w:rPr>
              <w:t>228,4</w:t>
            </w:r>
          </w:p>
        </w:tc>
      </w:tr>
    </w:tbl>
    <w:p w:rsidR="00DA3358" w:rsidRPr="00952101" w:rsidRDefault="00DA3358" w:rsidP="00DA3358">
      <w:pPr>
        <w:tabs>
          <w:tab w:val="left" w:pos="9990"/>
        </w:tabs>
        <w:ind w:left="113" w:hanging="113"/>
        <w:rPr>
          <w:sz w:val="14"/>
          <w:szCs w:val="14"/>
        </w:rPr>
      </w:pPr>
      <w:r w:rsidRPr="00952101">
        <w:rPr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A027E" wp14:editId="59BE99BA">
                <wp:simplePos x="0" y="0"/>
                <wp:positionH relativeFrom="column">
                  <wp:posOffset>14605</wp:posOffset>
                </wp:positionH>
                <wp:positionV relativeFrom="paragraph">
                  <wp:posOffset>39370</wp:posOffset>
                </wp:positionV>
                <wp:extent cx="10541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61547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.1pt" to="84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" strokecolor="black [3213]" strokeweight=".25pt"/>
            </w:pict>
          </mc:Fallback>
        </mc:AlternateContent>
      </w:r>
    </w:p>
    <w:p w:rsidR="00DA3358" w:rsidRPr="00952101" w:rsidRDefault="00DA3358" w:rsidP="00DA3358">
      <w:pPr>
        <w:tabs>
          <w:tab w:val="left" w:pos="9990"/>
        </w:tabs>
        <w:ind w:left="113" w:hanging="113"/>
        <w:rPr>
          <w:sz w:val="14"/>
          <w:szCs w:val="14"/>
        </w:rPr>
      </w:pPr>
      <w:r w:rsidRPr="00952101">
        <w:rPr>
          <w:sz w:val="14"/>
          <w:szCs w:val="14"/>
        </w:rPr>
        <w:t>¹</w:t>
      </w:r>
      <w:r w:rsidRPr="00952101">
        <w:rPr>
          <w:rFonts w:ascii="Cambria Math" w:hAnsi="Cambria Math" w:cs="Cambria Math"/>
          <w:sz w:val="14"/>
          <w:szCs w:val="14"/>
        </w:rPr>
        <w:t>⁾</w:t>
      </w:r>
      <w:r w:rsidRPr="00952101">
        <w:rPr>
          <w:sz w:val="14"/>
          <w:szCs w:val="14"/>
        </w:rPr>
        <w:t xml:space="preserve"> </w:t>
      </w:r>
      <w:r w:rsidR="00FF3820" w:rsidRPr="00952101">
        <w:rPr>
          <w:sz w:val="14"/>
          <w:szCs w:val="14"/>
        </w:rPr>
        <w:t>Data source: Serbian Environmental Protection Agency.</w:t>
      </w:r>
      <w:r w:rsidRPr="00952101">
        <w:rPr>
          <w:sz w:val="14"/>
          <w:szCs w:val="14"/>
        </w:rPr>
        <w:t xml:space="preserve"> </w:t>
      </w:r>
    </w:p>
    <w:p w:rsidR="00DA3358" w:rsidRPr="00952101" w:rsidRDefault="00DA3358" w:rsidP="00DA3358">
      <w:pPr>
        <w:tabs>
          <w:tab w:val="left" w:pos="9990"/>
        </w:tabs>
        <w:ind w:left="113" w:hanging="113"/>
        <w:rPr>
          <w:sz w:val="14"/>
          <w:szCs w:val="14"/>
        </w:rPr>
      </w:pPr>
      <w:r w:rsidRPr="00952101">
        <w:rPr>
          <w:sz w:val="14"/>
          <w:szCs w:val="14"/>
          <w:vertAlign w:val="superscript"/>
        </w:rPr>
        <w:t>2)</w:t>
      </w:r>
      <w:r w:rsidRPr="00952101">
        <w:rPr>
          <w:sz w:val="14"/>
          <w:szCs w:val="14"/>
        </w:rPr>
        <w:t xml:space="preserve"> </w:t>
      </w:r>
      <w:r w:rsidR="00DE22AE" w:rsidRPr="00952101">
        <w:rPr>
          <w:sz w:val="14"/>
          <w:szCs w:val="14"/>
        </w:rPr>
        <w:t xml:space="preserve">Air emission of pollutants covers the following gases: </w:t>
      </w:r>
      <w:r w:rsidRPr="00952101">
        <w:rPr>
          <w:sz w:val="14"/>
          <w:szCs w:val="14"/>
        </w:rPr>
        <w:t xml:space="preserve">NOx, </w:t>
      </w:r>
      <w:proofErr w:type="spellStart"/>
      <w:r w:rsidRPr="00952101">
        <w:rPr>
          <w:sz w:val="14"/>
          <w:szCs w:val="14"/>
        </w:rPr>
        <w:t>SOx</w:t>
      </w:r>
      <w:proofErr w:type="spellEnd"/>
      <w:r w:rsidRPr="00952101">
        <w:rPr>
          <w:sz w:val="14"/>
          <w:szCs w:val="14"/>
        </w:rPr>
        <w:t>, NH</w:t>
      </w:r>
      <w:r w:rsidRPr="00952101">
        <w:rPr>
          <w:sz w:val="14"/>
          <w:szCs w:val="14"/>
          <w:vertAlign w:val="subscript"/>
        </w:rPr>
        <w:t>3</w:t>
      </w:r>
      <w:r w:rsidRPr="00952101">
        <w:rPr>
          <w:sz w:val="14"/>
          <w:szCs w:val="14"/>
        </w:rPr>
        <w:t>, NMVOC, CO, PM</w:t>
      </w:r>
      <w:r w:rsidRPr="00952101">
        <w:rPr>
          <w:sz w:val="14"/>
          <w:szCs w:val="14"/>
          <w:vertAlign w:val="subscript"/>
        </w:rPr>
        <w:t>10</w:t>
      </w:r>
      <w:r w:rsidRPr="00952101">
        <w:rPr>
          <w:sz w:val="14"/>
          <w:szCs w:val="14"/>
        </w:rPr>
        <w:t xml:space="preserve"> </w:t>
      </w:r>
      <w:r w:rsidR="00DE22AE" w:rsidRPr="00952101">
        <w:rPr>
          <w:sz w:val="14"/>
          <w:szCs w:val="14"/>
        </w:rPr>
        <w:t>and</w:t>
      </w:r>
      <w:r w:rsidRPr="00952101">
        <w:rPr>
          <w:sz w:val="14"/>
          <w:szCs w:val="14"/>
        </w:rPr>
        <w:t xml:space="preserve"> PM </w:t>
      </w:r>
      <w:proofErr w:type="gramStart"/>
      <w:r w:rsidRPr="00952101">
        <w:rPr>
          <w:sz w:val="14"/>
          <w:szCs w:val="14"/>
          <w:vertAlign w:val="subscript"/>
        </w:rPr>
        <w:t>2.5</w:t>
      </w:r>
      <w:r w:rsidRPr="00952101">
        <w:rPr>
          <w:sz w:val="14"/>
          <w:szCs w:val="14"/>
        </w:rPr>
        <w:t>,</w:t>
      </w:r>
      <w:proofErr w:type="gramEnd"/>
      <w:r w:rsidRPr="00952101">
        <w:rPr>
          <w:sz w:val="14"/>
          <w:szCs w:val="14"/>
        </w:rPr>
        <w:t xml:space="preserve"> </w:t>
      </w:r>
      <w:r w:rsidR="00DE22AE" w:rsidRPr="00952101">
        <w:rPr>
          <w:sz w:val="14"/>
          <w:szCs w:val="14"/>
        </w:rPr>
        <w:t xml:space="preserve">and presented are emissions for </w:t>
      </w:r>
      <w:r w:rsidRPr="00952101">
        <w:rPr>
          <w:sz w:val="14"/>
          <w:szCs w:val="14"/>
        </w:rPr>
        <w:t xml:space="preserve">NOx, </w:t>
      </w:r>
      <w:proofErr w:type="spellStart"/>
      <w:r w:rsidRPr="00952101">
        <w:rPr>
          <w:sz w:val="14"/>
          <w:szCs w:val="14"/>
        </w:rPr>
        <w:t>SОx</w:t>
      </w:r>
      <w:proofErr w:type="spellEnd"/>
      <w:r w:rsidRPr="00952101">
        <w:rPr>
          <w:sz w:val="14"/>
          <w:szCs w:val="14"/>
        </w:rPr>
        <w:t xml:space="preserve"> </w:t>
      </w:r>
      <w:r w:rsidR="00DE22AE" w:rsidRPr="00952101">
        <w:rPr>
          <w:sz w:val="14"/>
          <w:szCs w:val="14"/>
        </w:rPr>
        <w:t>and</w:t>
      </w:r>
      <w:r w:rsidRPr="00952101">
        <w:rPr>
          <w:sz w:val="14"/>
          <w:szCs w:val="14"/>
        </w:rPr>
        <w:t xml:space="preserve"> CO.</w:t>
      </w:r>
    </w:p>
    <w:p w:rsidR="00D144FC" w:rsidRDefault="00D144FC" w:rsidP="00DA3358">
      <w:pPr>
        <w:tabs>
          <w:tab w:val="left" w:pos="9990"/>
        </w:tabs>
        <w:ind w:left="113" w:hanging="113"/>
        <w:rPr>
          <w:sz w:val="14"/>
          <w:szCs w:val="14"/>
          <w:vertAlign w:val="superscript"/>
        </w:rPr>
      </w:pPr>
    </w:p>
    <w:p w:rsidR="00DA3358" w:rsidRDefault="00DA3358" w:rsidP="00DA3358">
      <w:pPr>
        <w:tabs>
          <w:tab w:val="left" w:pos="9990"/>
        </w:tabs>
        <w:ind w:left="113" w:hanging="113"/>
        <w:rPr>
          <w:sz w:val="14"/>
          <w:szCs w:val="14"/>
        </w:rPr>
      </w:pPr>
    </w:p>
    <w:p w:rsidR="00BF2E14" w:rsidRDefault="00BF2E14" w:rsidP="00DA3358">
      <w:pPr>
        <w:tabs>
          <w:tab w:val="left" w:pos="9990"/>
        </w:tabs>
        <w:ind w:left="113" w:hanging="113"/>
        <w:rPr>
          <w:sz w:val="14"/>
          <w:szCs w:val="14"/>
        </w:rPr>
      </w:pPr>
    </w:p>
    <w:p w:rsidR="001B4CF5" w:rsidRPr="00952101" w:rsidRDefault="001B4CF5" w:rsidP="00DA3358">
      <w:pPr>
        <w:tabs>
          <w:tab w:val="left" w:pos="9990"/>
        </w:tabs>
        <w:ind w:left="113" w:hanging="113"/>
        <w:rPr>
          <w:sz w:val="14"/>
          <w:szCs w:val="14"/>
        </w:rPr>
      </w:pPr>
    </w:p>
    <w:p w:rsidR="00FC6132" w:rsidRPr="00952101" w:rsidRDefault="00FC6132" w:rsidP="00DA3358">
      <w:pPr>
        <w:tabs>
          <w:tab w:val="left" w:pos="9990"/>
        </w:tabs>
        <w:ind w:left="113" w:hanging="113"/>
        <w:rPr>
          <w:sz w:val="14"/>
          <w:szCs w:val="14"/>
        </w:rPr>
      </w:pPr>
    </w:p>
    <w:p w:rsidR="00FC6132" w:rsidRPr="00E00260" w:rsidRDefault="00FC6132" w:rsidP="00BF2E14">
      <w:pPr>
        <w:spacing w:after="80"/>
        <w:jc w:val="center"/>
        <w:rPr>
          <w:b/>
          <w:bCs/>
        </w:rPr>
      </w:pPr>
      <w:r w:rsidRPr="00952101">
        <w:rPr>
          <w:b/>
          <w:bCs/>
        </w:rPr>
        <w:t xml:space="preserve">Graph </w:t>
      </w:r>
      <w:proofErr w:type="gramStart"/>
      <w:r w:rsidRPr="00952101">
        <w:rPr>
          <w:b/>
          <w:bCs/>
        </w:rPr>
        <w:t>1</w:t>
      </w:r>
      <w:proofErr w:type="gramEnd"/>
      <w:r w:rsidRPr="00952101">
        <w:rPr>
          <w:b/>
          <w:bCs/>
        </w:rPr>
        <w:t xml:space="preserve"> Emission of СО</w:t>
      </w:r>
      <w:r w:rsidRPr="00952101">
        <w:rPr>
          <w:b/>
          <w:bCs/>
          <w:vertAlign w:val="subscript"/>
        </w:rPr>
        <w:t>2</w:t>
      </w:r>
      <w:r w:rsidR="00E00260">
        <w:rPr>
          <w:b/>
          <w:bCs/>
          <w:vertAlign w:val="subscript"/>
        </w:rPr>
        <w:t xml:space="preserve"> </w:t>
      </w:r>
      <w:r w:rsidR="00E00260">
        <w:rPr>
          <w:b/>
          <w:bCs/>
        </w:rPr>
        <w:t>by source</w:t>
      </w:r>
    </w:p>
    <w:p w:rsidR="00FC6132" w:rsidRPr="00952101" w:rsidRDefault="001B4CF5" w:rsidP="00BF2E14">
      <w:pPr>
        <w:spacing w:before="120" w:after="120" w:line="264" w:lineRule="auto"/>
        <w:jc w:val="center"/>
        <w:rPr>
          <w:color w:val="FF0000"/>
        </w:rPr>
      </w:pPr>
      <w:r w:rsidRPr="001B4CF5">
        <w:rPr>
          <w:noProof/>
          <w:color w:val="FF0000"/>
          <w:lang w:val="en-US"/>
        </w:rPr>
        <w:drawing>
          <wp:inline distT="0" distB="0" distL="0" distR="0">
            <wp:extent cx="5038725" cy="2514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F5" w:rsidRDefault="006142F5" w:rsidP="00AD5725">
      <w:pPr>
        <w:spacing w:after="80"/>
        <w:ind w:firstLine="403"/>
        <w:jc w:val="center"/>
        <w:rPr>
          <w:b/>
          <w:bCs/>
          <w:highlight w:val="yellow"/>
        </w:rPr>
      </w:pPr>
    </w:p>
    <w:p w:rsidR="00620BC7" w:rsidRDefault="00620BC7" w:rsidP="00AD5725">
      <w:pPr>
        <w:spacing w:after="80"/>
        <w:ind w:firstLine="403"/>
        <w:jc w:val="center"/>
        <w:rPr>
          <w:b/>
          <w:bCs/>
          <w:highlight w:val="yellow"/>
        </w:rPr>
      </w:pPr>
    </w:p>
    <w:p w:rsidR="00BF2E14" w:rsidRPr="00952101" w:rsidRDefault="00BF2E14" w:rsidP="00AD5725">
      <w:pPr>
        <w:spacing w:after="80"/>
        <w:ind w:firstLine="403"/>
        <w:jc w:val="center"/>
        <w:rPr>
          <w:b/>
          <w:bCs/>
          <w:highlight w:val="yellow"/>
        </w:rPr>
      </w:pPr>
    </w:p>
    <w:p w:rsidR="00AD5725" w:rsidRPr="00952101" w:rsidRDefault="00D11E2B" w:rsidP="00BF2E14">
      <w:pPr>
        <w:spacing w:after="80"/>
        <w:jc w:val="center"/>
        <w:rPr>
          <w:lang w:eastAsia="en-GB"/>
        </w:rPr>
      </w:pPr>
      <w:r w:rsidRPr="00952101">
        <w:rPr>
          <w:b/>
          <w:bCs/>
        </w:rPr>
        <w:t>Graph</w:t>
      </w:r>
      <w:r w:rsidR="00AD5725" w:rsidRPr="00952101">
        <w:rPr>
          <w:b/>
          <w:bCs/>
        </w:rPr>
        <w:t xml:space="preserve"> 2 </w:t>
      </w:r>
      <w:r w:rsidR="00540440" w:rsidRPr="00952101">
        <w:rPr>
          <w:b/>
          <w:bCs/>
        </w:rPr>
        <w:t xml:space="preserve">Emission of </w:t>
      </w:r>
      <w:proofErr w:type="spellStart"/>
      <w:r w:rsidR="00AD5725" w:rsidRPr="00952101">
        <w:rPr>
          <w:b/>
          <w:bCs/>
        </w:rPr>
        <w:t>NОx</w:t>
      </w:r>
      <w:proofErr w:type="spellEnd"/>
      <w:r w:rsidR="00E00260">
        <w:rPr>
          <w:b/>
          <w:bCs/>
        </w:rPr>
        <w:t xml:space="preserve"> by source</w:t>
      </w:r>
      <w:r w:rsidR="00AD5725" w:rsidRPr="00952101">
        <w:rPr>
          <w:b/>
          <w:bCs/>
        </w:rPr>
        <w:t>, 2015</w:t>
      </w:r>
    </w:p>
    <w:p w:rsidR="00AD5725" w:rsidRPr="00952101" w:rsidRDefault="001B4CF5" w:rsidP="00BF2E14">
      <w:pPr>
        <w:spacing w:before="120" w:after="120" w:line="264" w:lineRule="auto"/>
        <w:jc w:val="center"/>
        <w:rPr>
          <w:color w:val="FF0000"/>
        </w:rPr>
      </w:pPr>
      <w:r w:rsidRPr="001B4CF5">
        <w:rPr>
          <w:noProof/>
          <w:color w:val="FF0000"/>
          <w:lang w:val="en-US"/>
        </w:rPr>
        <w:drawing>
          <wp:inline distT="0" distB="0" distL="0" distR="0">
            <wp:extent cx="5038725" cy="2514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25" w:rsidRDefault="00AD5725" w:rsidP="00047A0B">
      <w:pPr>
        <w:spacing w:before="120" w:after="120" w:line="264" w:lineRule="auto"/>
        <w:ind w:firstLine="448"/>
        <w:jc w:val="both"/>
        <w:rPr>
          <w:color w:val="FF0000"/>
        </w:rPr>
      </w:pPr>
    </w:p>
    <w:p w:rsidR="001B4CF5" w:rsidRDefault="001B4CF5" w:rsidP="00BF2E14">
      <w:pPr>
        <w:spacing w:after="80"/>
        <w:jc w:val="center"/>
        <w:rPr>
          <w:b/>
          <w:bCs/>
        </w:rPr>
      </w:pPr>
    </w:p>
    <w:p w:rsidR="00AD5725" w:rsidRPr="00952101" w:rsidRDefault="00D11E2B" w:rsidP="00BF2E14">
      <w:pPr>
        <w:spacing w:after="80"/>
        <w:jc w:val="center"/>
      </w:pPr>
      <w:r w:rsidRPr="00952101">
        <w:rPr>
          <w:b/>
          <w:bCs/>
        </w:rPr>
        <w:lastRenderedPageBreak/>
        <w:t>Graph</w:t>
      </w:r>
      <w:r w:rsidR="00AD5725" w:rsidRPr="00952101">
        <w:rPr>
          <w:b/>
          <w:bCs/>
        </w:rPr>
        <w:t xml:space="preserve"> 3 </w:t>
      </w:r>
      <w:r w:rsidR="00540440" w:rsidRPr="00952101">
        <w:rPr>
          <w:b/>
          <w:bCs/>
        </w:rPr>
        <w:t xml:space="preserve">Emission of </w:t>
      </w:r>
      <w:proofErr w:type="spellStart"/>
      <w:r w:rsidR="00AD5725" w:rsidRPr="00952101">
        <w:rPr>
          <w:b/>
          <w:bCs/>
        </w:rPr>
        <w:t>SОx</w:t>
      </w:r>
      <w:proofErr w:type="spellEnd"/>
      <w:r w:rsidR="00E00260">
        <w:rPr>
          <w:b/>
          <w:bCs/>
        </w:rPr>
        <w:t xml:space="preserve"> by source</w:t>
      </w:r>
      <w:r w:rsidR="00AD5725" w:rsidRPr="00952101">
        <w:rPr>
          <w:b/>
          <w:bCs/>
        </w:rPr>
        <w:t>, 2015</w:t>
      </w:r>
    </w:p>
    <w:p w:rsidR="00AD5725" w:rsidRPr="00952101" w:rsidRDefault="001B4CF5" w:rsidP="00BF2E14">
      <w:pPr>
        <w:spacing w:before="120" w:after="120" w:line="264" w:lineRule="auto"/>
        <w:jc w:val="center"/>
        <w:rPr>
          <w:color w:val="FF0000"/>
        </w:rPr>
      </w:pPr>
      <w:r w:rsidRPr="001B4CF5">
        <w:rPr>
          <w:noProof/>
          <w:color w:val="FF0000"/>
          <w:lang w:val="en-US"/>
        </w:rPr>
        <w:drawing>
          <wp:inline distT="0" distB="0" distL="0" distR="0">
            <wp:extent cx="5048250" cy="2514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25" w:rsidRDefault="00AD5725" w:rsidP="00047A0B">
      <w:pPr>
        <w:spacing w:before="120" w:after="120" w:line="264" w:lineRule="auto"/>
        <w:ind w:firstLine="448"/>
        <w:jc w:val="both"/>
        <w:rPr>
          <w:color w:val="FF0000"/>
        </w:rPr>
      </w:pPr>
    </w:p>
    <w:p w:rsidR="00620BC7" w:rsidRDefault="00620BC7" w:rsidP="00047A0B">
      <w:pPr>
        <w:spacing w:before="120" w:after="120" w:line="264" w:lineRule="auto"/>
        <w:ind w:firstLine="448"/>
        <w:jc w:val="both"/>
        <w:rPr>
          <w:color w:val="FF0000"/>
        </w:rPr>
      </w:pPr>
    </w:p>
    <w:p w:rsidR="00620BC7" w:rsidRPr="00952101" w:rsidRDefault="00620BC7" w:rsidP="00047A0B">
      <w:pPr>
        <w:spacing w:before="120" w:after="120" w:line="264" w:lineRule="auto"/>
        <w:ind w:firstLine="448"/>
        <w:jc w:val="both"/>
        <w:rPr>
          <w:color w:val="FF0000"/>
        </w:rPr>
      </w:pPr>
    </w:p>
    <w:p w:rsidR="00725E63" w:rsidRPr="00952101" w:rsidRDefault="00725E63" w:rsidP="00676E1B">
      <w:pPr>
        <w:spacing w:after="80"/>
        <w:ind w:firstLine="403"/>
        <w:jc w:val="both"/>
      </w:pPr>
    </w:p>
    <w:p w:rsidR="00676E1B" w:rsidRPr="00952101" w:rsidRDefault="008F4410" w:rsidP="00676E1B">
      <w:pPr>
        <w:spacing w:after="80"/>
        <w:ind w:firstLine="403"/>
        <w:jc w:val="both"/>
      </w:pPr>
      <w:r w:rsidRPr="00952101">
        <w:t>Methodological explanations on the air emission account</w:t>
      </w:r>
      <w:r w:rsidR="00AD5725" w:rsidRPr="00952101">
        <w:t>s</w:t>
      </w:r>
      <w:r w:rsidRPr="00952101">
        <w:t xml:space="preserve"> </w:t>
      </w:r>
      <w:proofErr w:type="gramStart"/>
      <w:r w:rsidRPr="00952101">
        <w:t>can be found</w:t>
      </w:r>
      <w:proofErr w:type="gramEnd"/>
      <w:r w:rsidRPr="00952101">
        <w:t xml:space="preserve"> on the website of the Statistical Office of the Republic of Serbia:</w:t>
      </w:r>
      <w:r w:rsidR="0081435B" w:rsidRPr="00952101">
        <w:t xml:space="preserve"> </w:t>
      </w:r>
      <w:hyperlink r:id="rId12" w:history="1">
        <w:r w:rsidR="00C01377" w:rsidRPr="00952101">
          <w:rPr>
            <w:rStyle w:val="Hyperlink"/>
            <w:rFonts w:cs="Arial"/>
          </w:rPr>
          <w:t>http://webrzs.stat.gov.rs/WebSite/Public/PageView.aspx?pKey=64</w:t>
        </w:r>
      </w:hyperlink>
      <w:r w:rsidR="001C27CE" w:rsidRPr="00952101">
        <w:t>.</w:t>
      </w:r>
    </w:p>
    <w:p w:rsidR="00C01377" w:rsidRPr="00952101" w:rsidRDefault="008F4410" w:rsidP="00676E1B">
      <w:pPr>
        <w:spacing w:after="80"/>
        <w:ind w:firstLine="403"/>
        <w:jc w:val="both"/>
      </w:pPr>
      <w:r w:rsidRPr="00952101">
        <w:t>Data series</w:t>
      </w:r>
      <w:r w:rsidR="001F225A" w:rsidRPr="00952101">
        <w:t xml:space="preserve"> for the air emission accounts are accessible on the website of the Statistical Office of the Republic of Serbia, in database </w:t>
      </w:r>
      <w:r w:rsidR="003560F0" w:rsidRPr="00952101">
        <w:t>http://webrzs.stat.gov.rs/WebSite/public/ReportView.aspx.</w:t>
      </w:r>
    </w:p>
    <w:p w:rsidR="001F225A" w:rsidRPr="00952101" w:rsidRDefault="001F225A" w:rsidP="00655C6C">
      <w:pPr>
        <w:spacing w:after="80"/>
        <w:ind w:firstLine="403"/>
        <w:jc w:val="both"/>
        <w:rPr>
          <w:rFonts w:ascii="Tahoma" w:hAnsi="Tahoma" w:cs="Tahoma"/>
        </w:rPr>
      </w:pPr>
      <w:r w:rsidRPr="00952101">
        <w:rPr>
          <w:rFonts w:ascii="Tahoma" w:hAnsi="Tahoma" w:cs="Tahoma"/>
        </w:rPr>
        <w:t xml:space="preserve">Starting from 1999 the Statistical Office of the Republic of Serbia has not at disposal and may not provide available certain data relative to AP Kosovo and </w:t>
      </w:r>
      <w:proofErr w:type="spellStart"/>
      <w:r w:rsidRPr="00952101">
        <w:rPr>
          <w:rFonts w:ascii="Tahoma" w:hAnsi="Tahoma" w:cs="Tahoma"/>
        </w:rPr>
        <w:t>Metohija</w:t>
      </w:r>
      <w:proofErr w:type="spellEnd"/>
      <w:r w:rsidRPr="00952101">
        <w:rPr>
          <w:rFonts w:ascii="Tahoma" w:hAnsi="Tahoma" w:cs="Tahoma"/>
        </w:rPr>
        <w:t xml:space="preserve"> and therefore these data are not included in the coverage for the Republic of Serbia (total).</w:t>
      </w:r>
    </w:p>
    <w:p w:rsidR="001F3ABF" w:rsidRPr="00952101" w:rsidRDefault="001F3ABF" w:rsidP="00791F5B">
      <w:pPr>
        <w:rPr>
          <w:sz w:val="16"/>
          <w:szCs w:val="16"/>
        </w:rPr>
      </w:pPr>
    </w:p>
    <w:p w:rsidR="00725E63" w:rsidRPr="00952101" w:rsidRDefault="00725E63" w:rsidP="00791F5B">
      <w:pPr>
        <w:rPr>
          <w:sz w:val="16"/>
          <w:szCs w:val="16"/>
        </w:rPr>
      </w:pPr>
    </w:p>
    <w:p w:rsidR="00725E63" w:rsidRPr="00952101" w:rsidRDefault="00725E63" w:rsidP="00791F5B">
      <w:pPr>
        <w:rPr>
          <w:sz w:val="16"/>
          <w:szCs w:val="16"/>
        </w:rPr>
      </w:pPr>
    </w:p>
    <w:p w:rsidR="003B028E" w:rsidRPr="00952101" w:rsidRDefault="003B028E" w:rsidP="00791F5B">
      <w:pPr>
        <w:rPr>
          <w:sz w:val="16"/>
          <w:szCs w:val="16"/>
        </w:rPr>
      </w:pPr>
    </w:p>
    <w:p w:rsidR="003B028E" w:rsidRPr="00952101" w:rsidRDefault="003B028E" w:rsidP="00791F5B">
      <w:pPr>
        <w:rPr>
          <w:sz w:val="16"/>
          <w:szCs w:val="16"/>
        </w:rPr>
      </w:pPr>
    </w:p>
    <w:p w:rsidR="003B028E" w:rsidRPr="00952101" w:rsidRDefault="003B028E" w:rsidP="00791F5B">
      <w:pPr>
        <w:rPr>
          <w:sz w:val="16"/>
          <w:szCs w:val="16"/>
        </w:rPr>
      </w:pPr>
    </w:p>
    <w:p w:rsidR="00725E63" w:rsidRPr="00952101" w:rsidRDefault="00725E63" w:rsidP="00791F5B">
      <w:pPr>
        <w:rPr>
          <w:sz w:val="16"/>
          <w:szCs w:val="16"/>
        </w:rPr>
      </w:pPr>
    </w:p>
    <w:p w:rsidR="00D11E2B" w:rsidRPr="00952101" w:rsidRDefault="00D11E2B" w:rsidP="00791F5B">
      <w:pPr>
        <w:rPr>
          <w:sz w:val="16"/>
          <w:szCs w:val="16"/>
        </w:rPr>
      </w:pPr>
    </w:p>
    <w:p w:rsidR="00D11E2B" w:rsidRPr="00952101" w:rsidRDefault="00D11E2B" w:rsidP="00791F5B">
      <w:pPr>
        <w:rPr>
          <w:sz w:val="16"/>
          <w:szCs w:val="16"/>
        </w:rPr>
      </w:pPr>
    </w:p>
    <w:p w:rsidR="00D11E2B" w:rsidRPr="00952101" w:rsidRDefault="00D11E2B" w:rsidP="00791F5B">
      <w:pPr>
        <w:rPr>
          <w:sz w:val="16"/>
          <w:szCs w:val="16"/>
        </w:rPr>
      </w:pPr>
    </w:p>
    <w:p w:rsidR="00D11E2B" w:rsidRPr="00952101" w:rsidRDefault="00D11E2B" w:rsidP="00791F5B">
      <w:pPr>
        <w:rPr>
          <w:sz w:val="16"/>
          <w:szCs w:val="16"/>
        </w:rPr>
      </w:pPr>
    </w:p>
    <w:p w:rsidR="00D11E2B" w:rsidRPr="00952101" w:rsidRDefault="00D11E2B" w:rsidP="00791F5B">
      <w:pPr>
        <w:rPr>
          <w:sz w:val="16"/>
          <w:szCs w:val="16"/>
        </w:rPr>
      </w:pPr>
    </w:p>
    <w:p w:rsidR="00D11E2B" w:rsidRPr="00952101" w:rsidRDefault="00D11E2B" w:rsidP="00791F5B">
      <w:pPr>
        <w:rPr>
          <w:sz w:val="16"/>
          <w:szCs w:val="16"/>
        </w:rPr>
      </w:pPr>
    </w:p>
    <w:p w:rsidR="00D11E2B" w:rsidRDefault="00D11E2B" w:rsidP="00791F5B">
      <w:pPr>
        <w:rPr>
          <w:sz w:val="16"/>
          <w:szCs w:val="16"/>
        </w:rPr>
      </w:pPr>
    </w:p>
    <w:p w:rsidR="00620BC7" w:rsidRDefault="00620BC7" w:rsidP="00791F5B">
      <w:pPr>
        <w:rPr>
          <w:sz w:val="16"/>
          <w:szCs w:val="16"/>
        </w:rPr>
      </w:pPr>
    </w:p>
    <w:p w:rsidR="00620BC7" w:rsidRPr="00952101" w:rsidRDefault="00620BC7" w:rsidP="00791F5B">
      <w:pPr>
        <w:rPr>
          <w:sz w:val="16"/>
          <w:szCs w:val="16"/>
        </w:rPr>
      </w:pPr>
    </w:p>
    <w:p w:rsidR="00D11E2B" w:rsidRPr="00952101" w:rsidRDefault="00D11E2B" w:rsidP="00791F5B">
      <w:pPr>
        <w:rPr>
          <w:sz w:val="16"/>
          <w:szCs w:val="16"/>
        </w:rPr>
      </w:pPr>
    </w:p>
    <w:p w:rsidR="00D11E2B" w:rsidRPr="00952101" w:rsidRDefault="00D11E2B" w:rsidP="00791F5B">
      <w:pPr>
        <w:rPr>
          <w:sz w:val="16"/>
          <w:szCs w:val="16"/>
        </w:rPr>
      </w:pPr>
    </w:p>
    <w:p w:rsidR="00D11E2B" w:rsidRPr="00952101" w:rsidRDefault="00D11E2B" w:rsidP="00791F5B">
      <w:pPr>
        <w:rPr>
          <w:sz w:val="16"/>
          <w:szCs w:val="16"/>
        </w:rPr>
      </w:pPr>
    </w:p>
    <w:p w:rsidR="00D11E2B" w:rsidRPr="00952101" w:rsidRDefault="00D11E2B" w:rsidP="00791F5B">
      <w:pPr>
        <w:rPr>
          <w:sz w:val="16"/>
          <w:szCs w:val="16"/>
        </w:rPr>
      </w:pPr>
    </w:p>
    <w:p w:rsidR="00D11E2B" w:rsidRPr="00952101" w:rsidRDefault="00D11E2B" w:rsidP="00791F5B">
      <w:pPr>
        <w:rPr>
          <w:sz w:val="16"/>
          <w:szCs w:val="16"/>
        </w:rPr>
      </w:pPr>
    </w:p>
    <w:p w:rsidR="00D11E2B" w:rsidRDefault="00D11E2B" w:rsidP="00791F5B">
      <w:pPr>
        <w:rPr>
          <w:sz w:val="16"/>
          <w:szCs w:val="16"/>
        </w:rPr>
      </w:pPr>
    </w:p>
    <w:p w:rsidR="00BF2E14" w:rsidRDefault="00BF2E14" w:rsidP="00791F5B">
      <w:pPr>
        <w:rPr>
          <w:sz w:val="16"/>
          <w:szCs w:val="16"/>
        </w:rPr>
      </w:pPr>
    </w:p>
    <w:p w:rsidR="00BF2E14" w:rsidRPr="00952101" w:rsidRDefault="00BF2E14" w:rsidP="00791F5B">
      <w:pPr>
        <w:rPr>
          <w:sz w:val="16"/>
          <w:szCs w:val="16"/>
        </w:rPr>
      </w:pPr>
    </w:p>
    <w:p w:rsidR="00D11E2B" w:rsidRPr="00952101" w:rsidRDefault="00D11E2B" w:rsidP="00791F5B">
      <w:pPr>
        <w:rPr>
          <w:sz w:val="16"/>
          <w:szCs w:val="16"/>
        </w:rPr>
      </w:pPr>
    </w:p>
    <w:p w:rsidR="00D11E2B" w:rsidRPr="00952101" w:rsidRDefault="00D11E2B" w:rsidP="00791F5B">
      <w:pPr>
        <w:rPr>
          <w:sz w:val="16"/>
          <w:szCs w:val="16"/>
        </w:rPr>
      </w:pPr>
    </w:p>
    <w:p w:rsidR="00D11E2B" w:rsidRPr="00952101" w:rsidRDefault="00D11E2B" w:rsidP="00791F5B">
      <w:pPr>
        <w:rPr>
          <w:sz w:val="16"/>
          <w:szCs w:val="16"/>
        </w:rPr>
      </w:pPr>
    </w:p>
    <w:p w:rsidR="00D11E2B" w:rsidRPr="00952101" w:rsidRDefault="00D11E2B" w:rsidP="00791F5B">
      <w:pPr>
        <w:rPr>
          <w:sz w:val="16"/>
          <w:szCs w:val="16"/>
        </w:rPr>
      </w:pPr>
    </w:p>
    <w:p w:rsidR="00D11E2B" w:rsidRPr="00952101" w:rsidRDefault="00D11E2B" w:rsidP="00791F5B">
      <w:pPr>
        <w:rPr>
          <w:sz w:val="16"/>
          <w:szCs w:val="16"/>
        </w:rPr>
      </w:pPr>
    </w:p>
    <w:p w:rsidR="00EF554A" w:rsidRPr="00952101" w:rsidRDefault="009A716E" w:rsidP="00B17B15">
      <w:pPr>
        <w:rPr>
          <w:sz w:val="16"/>
          <w:szCs w:val="16"/>
        </w:rPr>
      </w:pPr>
      <w:r w:rsidRPr="009521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FC24F" wp14:editId="1B3E127D">
                <wp:simplePos x="0" y="0"/>
                <wp:positionH relativeFrom="character">
                  <wp:posOffset>295275</wp:posOffset>
                </wp:positionH>
                <wp:positionV relativeFrom="line">
                  <wp:posOffset>104775</wp:posOffset>
                </wp:positionV>
                <wp:extent cx="5958205" cy="0"/>
                <wp:effectExtent l="9525" t="9525" r="1397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F91E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23.25pt,8.25pt" to="492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XI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" strokecolor="gray" strokeweight=".25pt">
                <w10:wrap anchory="line"/>
              </v:line>
            </w:pict>
          </mc:Fallback>
        </mc:AlternateContent>
      </w:r>
    </w:p>
    <w:p w:rsidR="00EF554A" w:rsidRPr="00952101" w:rsidRDefault="00EF554A" w:rsidP="001E008D">
      <w:pPr>
        <w:jc w:val="center"/>
        <w:rPr>
          <w:sz w:val="2"/>
          <w:szCs w:val="2"/>
          <w:u w:val="single"/>
        </w:rPr>
      </w:pPr>
    </w:p>
    <w:p w:rsidR="00EF554A" w:rsidRPr="00952101" w:rsidRDefault="008F4410" w:rsidP="00725E63">
      <w:pPr>
        <w:spacing w:before="120"/>
        <w:jc w:val="center"/>
        <w:rPr>
          <w:sz w:val="18"/>
          <w:szCs w:val="18"/>
        </w:rPr>
      </w:pPr>
      <w:r w:rsidRPr="00952101">
        <w:rPr>
          <w:sz w:val="18"/>
          <w:szCs w:val="18"/>
        </w:rPr>
        <w:t>Contact</w:t>
      </w:r>
      <w:r w:rsidR="00EF554A" w:rsidRPr="00952101">
        <w:rPr>
          <w:sz w:val="18"/>
          <w:szCs w:val="18"/>
        </w:rPr>
        <w:t xml:space="preserve">:  </w:t>
      </w:r>
      <w:hyperlink r:id="rId13" w:history="1">
        <w:r w:rsidR="00D11E2B" w:rsidRPr="00952101">
          <w:rPr>
            <w:rStyle w:val="Hyperlink"/>
            <w:rFonts w:cs="Arial"/>
            <w:sz w:val="18"/>
            <w:szCs w:val="18"/>
          </w:rPr>
          <w:t>ana.vignjevic@stat.gov.rs</w:t>
        </w:r>
      </w:hyperlink>
      <w:r w:rsidR="00D11E2B" w:rsidRPr="00952101">
        <w:rPr>
          <w:sz w:val="18"/>
          <w:szCs w:val="18"/>
        </w:rPr>
        <w:t xml:space="preserve">; </w:t>
      </w:r>
      <w:hyperlink r:id="rId14" w:history="1">
        <w:r w:rsidR="00D11E2B" w:rsidRPr="00952101">
          <w:rPr>
            <w:rStyle w:val="Hyperlink"/>
            <w:rFonts w:cs="Arial"/>
            <w:sz w:val="18"/>
            <w:szCs w:val="18"/>
          </w:rPr>
          <w:t>bojana.krzalic@stat.gov.rs</w:t>
        </w:r>
      </w:hyperlink>
      <w:r w:rsidR="00D11E2B" w:rsidRPr="00952101">
        <w:rPr>
          <w:sz w:val="18"/>
          <w:szCs w:val="18"/>
        </w:rPr>
        <w:t xml:space="preserve"> </w:t>
      </w:r>
      <w:r w:rsidRPr="00952101">
        <w:rPr>
          <w:sz w:val="18"/>
          <w:szCs w:val="18"/>
        </w:rPr>
        <w:t>Phone</w:t>
      </w:r>
      <w:r w:rsidR="00EF554A" w:rsidRPr="00952101">
        <w:rPr>
          <w:sz w:val="18"/>
          <w:szCs w:val="18"/>
        </w:rPr>
        <w:t xml:space="preserve">: 011 </w:t>
      </w:r>
      <w:r w:rsidR="00D11E2B" w:rsidRPr="00952101">
        <w:rPr>
          <w:sz w:val="18"/>
          <w:szCs w:val="18"/>
        </w:rPr>
        <w:t>3290-242</w:t>
      </w:r>
    </w:p>
    <w:p w:rsidR="00AE26C6" w:rsidRPr="00952101" w:rsidRDefault="008F4410" w:rsidP="00EC3833">
      <w:pPr>
        <w:jc w:val="center"/>
        <w:rPr>
          <w:sz w:val="18"/>
          <w:szCs w:val="18"/>
        </w:rPr>
      </w:pPr>
      <w:r w:rsidRPr="00952101">
        <w:rPr>
          <w:sz w:val="18"/>
          <w:szCs w:val="18"/>
        </w:rPr>
        <w:t>Published and printed by</w:t>
      </w:r>
      <w:r w:rsidR="00EF554A" w:rsidRPr="00952101">
        <w:rPr>
          <w:sz w:val="18"/>
          <w:szCs w:val="18"/>
        </w:rPr>
        <w:t xml:space="preserve">: </w:t>
      </w:r>
      <w:r w:rsidRPr="00952101">
        <w:rPr>
          <w:sz w:val="18"/>
          <w:szCs w:val="18"/>
        </w:rPr>
        <w:t>Statistical Office of the Republic of Serbia</w:t>
      </w:r>
      <w:r w:rsidR="00EF554A" w:rsidRPr="00952101">
        <w:rPr>
          <w:sz w:val="18"/>
          <w:szCs w:val="18"/>
        </w:rPr>
        <w:t xml:space="preserve">, </w:t>
      </w:r>
      <w:r w:rsidRPr="00952101">
        <w:rPr>
          <w:sz w:val="18"/>
          <w:szCs w:val="18"/>
        </w:rPr>
        <w:t>Belgrade</w:t>
      </w:r>
      <w:r w:rsidR="00EF554A" w:rsidRPr="00952101">
        <w:rPr>
          <w:sz w:val="18"/>
          <w:szCs w:val="18"/>
        </w:rPr>
        <w:t xml:space="preserve">, </w:t>
      </w:r>
      <w:proofErr w:type="spellStart"/>
      <w:r w:rsidRPr="00952101">
        <w:rPr>
          <w:sz w:val="18"/>
          <w:szCs w:val="18"/>
        </w:rPr>
        <w:t>Milana</w:t>
      </w:r>
      <w:proofErr w:type="spellEnd"/>
      <w:r w:rsidRPr="00952101">
        <w:rPr>
          <w:sz w:val="18"/>
          <w:szCs w:val="18"/>
        </w:rPr>
        <w:t xml:space="preserve"> </w:t>
      </w:r>
      <w:proofErr w:type="spellStart"/>
      <w:r w:rsidRPr="00952101">
        <w:rPr>
          <w:sz w:val="18"/>
          <w:szCs w:val="18"/>
        </w:rPr>
        <w:t>Rakica</w:t>
      </w:r>
      <w:proofErr w:type="spellEnd"/>
      <w:r w:rsidR="00EF554A" w:rsidRPr="00952101">
        <w:rPr>
          <w:sz w:val="18"/>
          <w:szCs w:val="18"/>
        </w:rPr>
        <w:t xml:space="preserve"> 5 </w:t>
      </w:r>
      <w:r w:rsidR="00EF554A" w:rsidRPr="00952101">
        <w:rPr>
          <w:sz w:val="18"/>
          <w:szCs w:val="18"/>
        </w:rPr>
        <w:br/>
      </w:r>
      <w:r w:rsidRPr="00952101">
        <w:rPr>
          <w:sz w:val="18"/>
          <w:szCs w:val="18"/>
        </w:rPr>
        <w:t>Phone</w:t>
      </w:r>
      <w:r w:rsidR="00EF554A" w:rsidRPr="00952101">
        <w:rPr>
          <w:sz w:val="18"/>
          <w:szCs w:val="18"/>
        </w:rPr>
        <w:t xml:space="preserve">: 011 2-412-922 • </w:t>
      </w:r>
      <w:r w:rsidRPr="00952101">
        <w:rPr>
          <w:sz w:val="18"/>
          <w:szCs w:val="18"/>
        </w:rPr>
        <w:t>Fax</w:t>
      </w:r>
      <w:r w:rsidR="00EF554A" w:rsidRPr="00952101">
        <w:rPr>
          <w:sz w:val="18"/>
          <w:szCs w:val="18"/>
        </w:rPr>
        <w:t>: 011 2-411-260 • www</w:t>
      </w:r>
      <w:r w:rsidRPr="00952101">
        <w:rPr>
          <w:sz w:val="18"/>
          <w:szCs w:val="18"/>
        </w:rPr>
        <w:t>.</w:t>
      </w:r>
      <w:r w:rsidR="00EF554A" w:rsidRPr="00952101">
        <w:rPr>
          <w:sz w:val="18"/>
          <w:szCs w:val="18"/>
        </w:rPr>
        <w:t>stat</w:t>
      </w:r>
      <w:r w:rsidRPr="00952101">
        <w:rPr>
          <w:sz w:val="18"/>
          <w:szCs w:val="18"/>
        </w:rPr>
        <w:t>.</w:t>
      </w:r>
      <w:r w:rsidR="00EF554A" w:rsidRPr="00952101">
        <w:rPr>
          <w:sz w:val="18"/>
          <w:szCs w:val="18"/>
        </w:rPr>
        <w:t>gov</w:t>
      </w:r>
      <w:r w:rsidRPr="00952101">
        <w:rPr>
          <w:sz w:val="18"/>
          <w:szCs w:val="18"/>
        </w:rPr>
        <w:t>.</w:t>
      </w:r>
      <w:r w:rsidR="00EF554A" w:rsidRPr="00952101">
        <w:rPr>
          <w:sz w:val="18"/>
          <w:szCs w:val="18"/>
        </w:rPr>
        <w:t>rs</w:t>
      </w:r>
      <w:r w:rsidR="00EF554A" w:rsidRPr="00952101">
        <w:rPr>
          <w:sz w:val="18"/>
          <w:szCs w:val="18"/>
        </w:rPr>
        <w:br/>
      </w:r>
      <w:r w:rsidRPr="00952101">
        <w:rPr>
          <w:sz w:val="18"/>
          <w:szCs w:val="18"/>
        </w:rPr>
        <w:t>Responsible</w:t>
      </w:r>
      <w:r w:rsidR="00EF554A" w:rsidRPr="00952101">
        <w:rPr>
          <w:sz w:val="18"/>
          <w:szCs w:val="18"/>
        </w:rPr>
        <w:t xml:space="preserve">: </w:t>
      </w:r>
      <w:r w:rsidRPr="00952101">
        <w:rPr>
          <w:sz w:val="18"/>
          <w:szCs w:val="18"/>
        </w:rPr>
        <w:t>Dr</w:t>
      </w:r>
      <w:r w:rsidR="00EF554A" w:rsidRPr="00952101">
        <w:rPr>
          <w:sz w:val="18"/>
          <w:szCs w:val="18"/>
        </w:rPr>
        <w:t xml:space="preserve"> </w:t>
      </w:r>
      <w:proofErr w:type="spellStart"/>
      <w:r w:rsidRPr="00952101">
        <w:rPr>
          <w:sz w:val="18"/>
          <w:szCs w:val="18"/>
        </w:rPr>
        <w:t>Miladin</w:t>
      </w:r>
      <w:proofErr w:type="spellEnd"/>
      <w:r w:rsidR="006D15A0" w:rsidRPr="00952101">
        <w:rPr>
          <w:sz w:val="18"/>
          <w:szCs w:val="18"/>
        </w:rPr>
        <w:t xml:space="preserve"> </w:t>
      </w:r>
      <w:proofErr w:type="spellStart"/>
      <w:r w:rsidRPr="00952101">
        <w:rPr>
          <w:sz w:val="18"/>
          <w:szCs w:val="18"/>
        </w:rPr>
        <w:t>Kovacevic</w:t>
      </w:r>
      <w:proofErr w:type="spellEnd"/>
      <w:r w:rsidR="00EF554A" w:rsidRPr="00952101">
        <w:rPr>
          <w:sz w:val="18"/>
          <w:szCs w:val="18"/>
        </w:rPr>
        <w:t xml:space="preserve">, </w:t>
      </w:r>
      <w:r w:rsidRPr="00952101">
        <w:rPr>
          <w:sz w:val="18"/>
          <w:szCs w:val="18"/>
        </w:rPr>
        <w:t>Director</w:t>
      </w:r>
      <w:r w:rsidR="00EF554A" w:rsidRPr="00952101">
        <w:rPr>
          <w:sz w:val="18"/>
          <w:szCs w:val="18"/>
        </w:rPr>
        <w:t xml:space="preserve"> </w:t>
      </w:r>
      <w:r w:rsidR="00EF554A" w:rsidRPr="00952101">
        <w:rPr>
          <w:sz w:val="18"/>
          <w:szCs w:val="18"/>
        </w:rPr>
        <w:br/>
      </w:r>
      <w:r w:rsidRPr="00952101">
        <w:rPr>
          <w:sz w:val="18"/>
          <w:szCs w:val="18"/>
        </w:rPr>
        <w:t>Circulation</w:t>
      </w:r>
      <w:r w:rsidR="00EF554A" w:rsidRPr="00952101">
        <w:rPr>
          <w:sz w:val="18"/>
          <w:szCs w:val="18"/>
        </w:rPr>
        <w:t xml:space="preserve">: 20 ● </w:t>
      </w:r>
      <w:r w:rsidRPr="00952101">
        <w:rPr>
          <w:sz w:val="18"/>
          <w:szCs w:val="18"/>
        </w:rPr>
        <w:t>Periodicity</w:t>
      </w:r>
      <w:r w:rsidR="00EF554A" w:rsidRPr="00952101">
        <w:rPr>
          <w:sz w:val="18"/>
          <w:szCs w:val="18"/>
        </w:rPr>
        <w:t xml:space="preserve">: </w:t>
      </w:r>
      <w:r w:rsidRPr="00952101">
        <w:rPr>
          <w:sz w:val="18"/>
          <w:szCs w:val="18"/>
        </w:rPr>
        <w:t>annual</w:t>
      </w:r>
    </w:p>
    <w:sectPr w:rsidR="00AE26C6" w:rsidRPr="00952101" w:rsidSect="00E8580D">
      <w:footerReference w:type="even" r:id="rId15"/>
      <w:footerReference w:type="default" r:id="rId16"/>
      <w:pgSz w:w="11907" w:h="16840" w:code="9"/>
      <w:pgMar w:top="907" w:right="837" w:bottom="90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8F" w:rsidRDefault="0051788F">
      <w:r>
        <w:separator/>
      </w:r>
    </w:p>
  </w:endnote>
  <w:endnote w:type="continuationSeparator" w:id="0">
    <w:p w:rsidR="0051788F" w:rsidRDefault="0051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74"/>
      <w:gridCol w:w="5089"/>
    </w:tblGrid>
    <w:tr w:rsidR="00BC10B0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C10B0" w:rsidRPr="00AF23FB" w:rsidRDefault="00BC10B0" w:rsidP="00BF2E14">
          <w:pPr>
            <w:spacing w:before="6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9E4E5C">
            <w:rPr>
              <w:noProof/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            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BC10B0" w:rsidRPr="00A933FF" w:rsidRDefault="00BC10B0" w:rsidP="00BF2E14">
          <w:pPr>
            <w:spacing w:before="6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</w:t>
          </w:r>
          <w:r w:rsidR="003B028E">
            <w:rPr>
              <w:sz w:val="16"/>
              <w:szCs w:val="16"/>
            </w:rPr>
            <w:t>SRB</w:t>
          </w:r>
          <w:r w:rsidR="00014006">
            <w:rPr>
              <w:sz w:val="16"/>
              <w:szCs w:val="16"/>
              <w:lang w:val="sr-Cyrl-RS"/>
            </w:rPr>
            <w:t>259</w:t>
          </w:r>
          <w:r>
            <w:rPr>
              <w:sz w:val="16"/>
              <w:szCs w:val="16"/>
              <w:lang w:val="sr-Latn-CS"/>
            </w:rPr>
            <w:t xml:space="preserve"> </w:t>
          </w:r>
          <w:r w:rsidR="00E015FB">
            <w:rPr>
              <w:sz w:val="16"/>
              <w:szCs w:val="16"/>
              <w:lang w:val="sr-Latn-CS"/>
            </w:rPr>
            <w:t>ZS80</w:t>
          </w:r>
          <w:r w:rsidRPr="00AF23FB">
            <w:rPr>
              <w:sz w:val="16"/>
              <w:szCs w:val="16"/>
              <w:lang w:val="sr-Cyrl-CS"/>
            </w:rPr>
            <w:t xml:space="preserve"> </w:t>
          </w:r>
          <w:r>
            <w:rPr>
              <w:sz w:val="16"/>
              <w:szCs w:val="16"/>
              <w:lang w:val="sr-Latn-CS"/>
            </w:rPr>
            <w:t>20</w:t>
          </w:r>
          <w:r>
            <w:rPr>
              <w:sz w:val="16"/>
              <w:szCs w:val="16"/>
            </w:rPr>
            <w:t>09</w:t>
          </w:r>
          <w:r>
            <w:rPr>
              <w:sz w:val="16"/>
              <w:szCs w:val="16"/>
              <w:lang w:val="sr-Cyrl-CS"/>
            </w:rPr>
            <w:t>1</w:t>
          </w:r>
          <w:r w:rsidR="00014006">
            <w:rPr>
              <w:sz w:val="16"/>
              <w:szCs w:val="16"/>
              <w:lang w:val="sr-Cyrl-CS"/>
            </w:rPr>
            <w:t>7</w:t>
          </w:r>
        </w:p>
      </w:tc>
    </w:tr>
  </w:tbl>
  <w:p w:rsidR="00BC10B0" w:rsidRPr="005C58EB" w:rsidRDefault="00BC10B0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88"/>
      <w:gridCol w:w="5075"/>
    </w:tblGrid>
    <w:tr w:rsidR="00BC10B0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BC10B0" w:rsidRPr="00AF23FB" w:rsidRDefault="008E07C4" w:rsidP="008E07C4">
          <w:pPr>
            <w:spacing w:before="60"/>
            <w:rPr>
              <w:sz w:val="16"/>
              <w:szCs w:val="16"/>
              <w:lang w:val="sr-Latn-CS"/>
            </w:rPr>
          </w:pPr>
          <w:r>
            <w:rPr>
              <w:sz w:val="16"/>
              <w:szCs w:val="16"/>
            </w:rPr>
            <w:t>SRB</w:t>
          </w:r>
          <w:r w:rsidR="00014006">
            <w:rPr>
              <w:sz w:val="16"/>
              <w:szCs w:val="16"/>
              <w:lang w:val="sr-Cyrl-RS"/>
            </w:rPr>
            <w:t>259</w:t>
          </w:r>
          <w:r w:rsidR="00BC10B0">
            <w:rPr>
              <w:sz w:val="16"/>
              <w:szCs w:val="16"/>
              <w:lang w:val="sr-Cyrl-CS"/>
            </w:rPr>
            <w:t xml:space="preserve"> </w:t>
          </w:r>
          <w:r w:rsidR="00E015FB">
            <w:rPr>
              <w:sz w:val="16"/>
              <w:szCs w:val="16"/>
              <w:lang w:val="sr-Latn-RS"/>
            </w:rPr>
            <w:t>ZS80</w:t>
          </w:r>
          <w:r w:rsidR="00BC10B0" w:rsidRPr="00AF23FB">
            <w:rPr>
              <w:sz w:val="16"/>
              <w:szCs w:val="16"/>
              <w:lang w:val="sr-Cyrl-CS"/>
            </w:rPr>
            <w:t xml:space="preserve"> </w:t>
          </w:r>
          <w:r w:rsidR="00014006">
            <w:rPr>
              <w:sz w:val="16"/>
              <w:szCs w:val="16"/>
              <w:lang w:val="sr-Cyrl-CS"/>
            </w:rPr>
            <w:t>200917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BC10B0" w:rsidRPr="00AF23FB" w:rsidRDefault="00BC10B0" w:rsidP="00BF2E14">
          <w:pPr>
            <w:spacing w:before="6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9E4E5C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BC10B0" w:rsidRPr="005C58EB" w:rsidRDefault="00BC10B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8F" w:rsidRDefault="0051788F">
      <w:r>
        <w:separator/>
      </w:r>
    </w:p>
  </w:footnote>
  <w:footnote w:type="continuationSeparator" w:id="0">
    <w:p w:rsidR="0051788F" w:rsidRDefault="00517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4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071"/>
    <w:rsid w:val="0000063D"/>
    <w:rsid w:val="000034A9"/>
    <w:rsid w:val="000034E4"/>
    <w:rsid w:val="000049E7"/>
    <w:rsid w:val="000053A6"/>
    <w:rsid w:val="00007FBD"/>
    <w:rsid w:val="00013F72"/>
    <w:rsid w:val="00014006"/>
    <w:rsid w:val="00014012"/>
    <w:rsid w:val="0001599D"/>
    <w:rsid w:val="00017AE7"/>
    <w:rsid w:val="00021C9B"/>
    <w:rsid w:val="00023215"/>
    <w:rsid w:val="00023B4C"/>
    <w:rsid w:val="0002498A"/>
    <w:rsid w:val="000261BF"/>
    <w:rsid w:val="000267D7"/>
    <w:rsid w:val="0003083D"/>
    <w:rsid w:val="00034AEC"/>
    <w:rsid w:val="0004045B"/>
    <w:rsid w:val="00040BA0"/>
    <w:rsid w:val="000439EE"/>
    <w:rsid w:val="00043FF5"/>
    <w:rsid w:val="000443BC"/>
    <w:rsid w:val="00046A38"/>
    <w:rsid w:val="000471FF"/>
    <w:rsid w:val="00047A0B"/>
    <w:rsid w:val="0005027C"/>
    <w:rsid w:val="00055943"/>
    <w:rsid w:val="00057A0F"/>
    <w:rsid w:val="00060D51"/>
    <w:rsid w:val="00063B99"/>
    <w:rsid w:val="000664C2"/>
    <w:rsid w:val="00067EB3"/>
    <w:rsid w:val="00071391"/>
    <w:rsid w:val="00071E91"/>
    <w:rsid w:val="00073936"/>
    <w:rsid w:val="000748B0"/>
    <w:rsid w:val="00075881"/>
    <w:rsid w:val="00075992"/>
    <w:rsid w:val="00075B0C"/>
    <w:rsid w:val="000766D4"/>
    <w:rsid w:val="000803DD"/>
    <w:rsid w:val="00087B68"/>
    <w:rsid w:val="0009529F"/>
    <w:rsid w:val="0009771A"/>
    <w:rsid w:val="000A48A2"/>
    <w:rsid w:val="000A50B6"/>
    <w:rsid w:val="000A6A3B"/>
    <w:rsid w:val="000B3802"/>
    <w:rsid w:val="000B7C06"/>
    <w:rsid w:val="000C1BE1"/>
    <w:rsid w:val="000C1DD3"/>
    <w:rsid w:val="000C4CBC"/>
    <w:rsid w:val="000C7ABF"/>
    <w:rsid w:val="000C7CC4"/>
    <w:rsid w:val="000D087B"/>
    <w:rsid w:val="000D13A0"/>
    <w:rsid w:val="000D2620"/>
    <w:rsid w:val="000D4386"/>
    <w:rsid w:val="000D4726"/>
    <w:rsid w:val="000D53E2"/>
    <w:rsid w:val="000D6957"/>
    <w:rsid w:val="000D7A37"/>
    <w:rsid w:val="000E0B38"/>
    <w:rsid w:val="000E1739"/>
    <w:rsid w:val="000E457C"/>
    <w:rsid w:val="000E4DEF"/>
    <w:rsid w:val="000F0C51"/>
    <w:rsid w:val="000F4AF7"/>
    <w:rsid w:val="000F57B1"/>
    <w:rsid w:val="0010039D"/>
    <w:rsid w:val="001024D8"/>
    <w:rsid w:val="001034CA"/>
    <w:rsid w:val="001057A8"/>
    <w:rsid w:val="00106E57"/>
    <w:rsid w:val="00110976"/>
    <w:rsid w:val="00110F39"/>
    <w:rsid w:val="0011264F"/>
    <w:rsid w:val="001148A4"/>
    <w:rsid w:val="00114F84"/>
    <w:rsid w:val="00120DC5"/>
    <w:rsid w:val="001245F5"/>
    <w:rsid w:val="00124E8D"/>
    <w:rsid w:val="00130CE3"/>
    <w:rsid w:val="00130D77"/>
    <w:rsid w:val="00132AB5"/>
    <w:rsid w:val="00133AC4"/>
    <w:rsid w:val="0014018B"/>
    <w:rsid w:val="00146F50"/>
    <w:rsid w:val="00147CD6"/>
    <w:rsid w:val="00151D72"/>
    <w:rsid w:val="00154340"/>
    <w:rsid w:val="00155451"/>
    <w:rsid w:val="00155E60"/>
    <w:rsid w:val="001577B8"/>
    <w:rsid w:val="00160D2D"/>
    <w:rsid w:val="00161C21"/>
    <w:rsid w:val="00161D65"/>
    <w:rsid w:val="00162FC7"/>
    <w:rsid w:val="0016393C"/>
    <w:rsid w:val="00163ABD"/>
    <w:rsid w:val="00165B24"/>
    <w:rsid w:val="00167D23"/>
    <w:rsid w:val="00172BA5"/>
    <w:rsid w:val="00174C07"/>
    <w:rsid w:val="00174E1D"/>
    <w:rsid w:val="00175E04"/>
    <w:rsid w:val="00176BA3"/>
    <w:rsid w:val="00177684"/>
    <w:rsid w:val="00180434"/>
    <w:rsid w:val="0018121E"/>
    <w:rsid w:val="001815B6"/>
    <w:rsid w:val="0018679C"/>
    <w:rsid w:val="00187945"/>
    <w:rsid w:val="00190E98"/>
    <w:rsid w:val="00191987"/>
    <w:rsid w:val="00194F9C"/>
    <w:rsid w:val="00196304"/>
    <w:rsid w:val="001A2928"/>
    <w:rsid w:val="001A305E"/>
    <w:rsid w:val="001A3FF7"/>
    <w:rsid w:val="001A5008"/>
    <w:rsid w:val="001A77B5"/>
    <w:rsid w:val="001B2E96"/>
    <w:rsid w:val="001B376E"/>
    <w:rsid w:val="001B416B"/>
    <w:rsid w:val="001B4B42"/>
    <w:rsid w:val="001B4CF5"/>
    <w:rsid w:val="001C080E"/>
    <w:rsid w:val="001C094C"/>
    <w:rsid w:val="001C19D0"/>
    <w:rsid w:val="001C23EB"/>
    <w:rsid w:val="001C27CE"/>
    <w:rsid w:val="001C31AD"/>
    <w:rsid w:val="001C3719"/>
    <w:rsid w:val="001C38FC"/>
    <w:rsid w:val="001C53BD"/>
    <w:rsid w:val="001D1643"/>
    <w:rsid w:val="001D23DB"/>
    <w:rsid w:val="001D7AEC"/>
    <w:rsid w:val="001E008D"/>
    <w:rsid w:val="001E0342"/>
    <w:rsid w:val="001E1EE7"/>
    <w:rsid w:val="001E2578"/>
    <w:rsid w:val="001F225A"/>
    <w:rsid w:val="001F2E55"/>
    <w:rsid w:val="001F3ABF"/>
    <w:rsid w:val="001F6480"/>
    <w:rsid w:val="002002E6"/>
    <w:rsid w:val="00201EC0"/>
    <w:rsid w:val="00205188"/>
    <w:rsid w:val="00205B73"/>
    <w:rsid w:val="00210AC6"/>
    <w:rsid w:val="00214D2C"/>
    <w:rsid w:val="00220ABD"/>
    <w:rsid w:val="00225696"/>
    <w:rsid w:val="00225B09"/>
    <w:rsid w:val="002314E5"/>
    <w:rsid w:val="00233606"/>
    <w:rsid w:val="002338F2"/>
    <w:rsid w:val="00233D2F"/>
    <w:rsid w:val="00237399"/>
    <w:rsid w:val="00243857"/>
    <w:rsid w:val="00244503"/>
    <w:rsid w:val="00244B26"/>
    <w:rsid w:val="00246009"/>
    <w:rsid w:val="00246177"/>
    <w:rsid w:val="00247186"/>
    <w:rsid w:val="00253EE4"/>
    <w:rsid w:val="00254717"/>
    <w:rsid w:val="00254875"/>
    <w:rsid w:val="00256318"/>
    <w:rsid w:val="00256399"/>
    <w:rsid w:val="002577D1"/>
    <w:rsid w:val="00266953"/>
    <w:rsid w:val="00270CA6"/>
    <w:rsid w:val="00275D4F"/>
    <w:rsid w:val="00277F75"/>
    <w:rsid w:val="002826B6"/>
    <w:rsid w:val="00284F57"/>
    <w:rsid w:val="0028527C"/>
    <w:rsid w:val="00285A7E"/>
    <w:rsid w:val="00285B0F"/>
    <w:rsid w:val="00285FAA"/>
    <w:rsid w:val="0028769D"/>
    <w:rsid w:val="0029008C"/>
    <w:rsid w:val="002961F4"/>
    <w:rsid w:val="002A3110"/>
    <w:rsid w:val="002A709D"/>
    <w:rsid w:val="002A7A06"/>
    <w:rsid w:val="002B54CB"/>
    <w:rsid w:val="002B7024"/>
    <w:rsid w:val="002C2C17"/>
    <w:rsid w:val="002C35A2"/>
    <w:rsid w:val="002C4EC4"/>
    <w:rsid w:val="002C6142"/>
    <w:rsid w:val="002C6218"/>
    <w:rsid w:val="002C79A0"/>
    <w:rsid w:val="002D6BA4"/>
    <w:rsid w:val="002E619E"/>
    <w:rsid w:val="002E67FE"/>
    <w:rsid w:val="002E7BD2"/>
    <w:rsid w:val="002F1F25"/>
    <w:rsid w:val="002F31A0"/>
    <w:rsid w:val="002F3B5A"/>
    <w:rsid w:val="002F575B"/>
    <w:rsid w:val="002F723C"/>
    <w:rsid w:val="002F7471"/>
    <w:rsid w:val="003014F9"/>
    <w:rsid w:val="00303366"/>
    <w:rsid w:val="0030344F"/>
    <w:rsid w:val="00305331"/>
    <w:rsid w:val="00307D0B"/>
    <w:rsid w:val="0031163C"/>
    <w:rsid w:val="00314F9F"/>
    <w:rsid w:val="0031664D"/>
    <w:rsid w:val="00326471"/>
    <w:rsid w:val="00334507"/>
    <w:rsid w:val="00335AC3"/>
    <w:rsid w:val="00336BD7"/>
    <w:rsid w:val="00337626"/>
    <w:rsid w:val="00341AE4"/>
    <w:rsid w:val="0034201E"/>
    <w:rsid w:val="00345F38"/>
    <w:rsid w:val="00346534"/>
    <w:rsid w:val="003472A6"/>
    <w:rsid w:val="00350FC0"/>
    <w:rsid w:val="003560F0"/>
    <w:rsid w:val="00357146"/>
    <w:rsid w:val="0036003E"/>
    <w:rsid w:val="00361FB1"/>
    <w:rsid w:val="003620E3"/>
    <w:rsid w:val="00362392"/>
    <w:rsid w:val="00362875"/>
    <w:rsid w:val="0036561A"/>
    <w:rsid w:val="00367ABC"/>
    <w:rsid w:val="003712D8"/>
    <w:rsid w:val="0037335D"/>
    <w:rsid w:val="00374EB9"/>
    <w:rsid w:val="00377573"/>
    <w:rsid w:val="003778DB"/>
    <w:rsid w:val="00377EA2"/>
    <w:rsid w:val="00377F68"/>
    <w:rsid w:val="0038067D"/>
    <w:rsid w:val="00382772"/>
    <w:rsid w:val="003854DA"/>
    <w:rsid w:val="003868DB"/>
    <w:rsid w:val="00386CE6"/>
    <w:rsid w:val="003870B9"/>
    <w:rsid w:val="00390467"/>
    <w:rsid w:val="00390972"/>
    <w:rsid w:val="00392B6B"/>
    <w:rsid w:val="003948EC"/>
    <w:rsid w:val="00395898"/>
    <w:rsid w:val="00395B71"/>
    <w:rsid w:val="003A2F46"/>
    <w:rsid w:val="003A6A88"/>
    <w:rsid w:val="003A742D"/>
    <w:rsid w:val="003B028E"/>
    <w:rsid w:val="003B2484"/>
    <w:rsid w:val="003B2E9E"/>
    <w:rsid w:val="003B3064"/>
    <w:rsid w:val="003B602E"/>
    <w:rsid w:val="003B67AC"/>
    <w:rsid w:val="003C08A8"/>
    <w:rsid w:val="003C4653"/>
    <w:rsid w:val="003C52A9"/>
    <w:rsid w:val="003C5346"/>
    <w:rsid w:val="003C62B2"/>
    <w:rsid w:val="003C6386"/>
    <w:rsid w:val="003C6D85"/>
    <w:rsid w:val="003D308A"/>
    <w:rsid w:val="003D37B1"/>
    <w:rsid w:val="003D4FFC"/>
    <w:rsid w:val="003D7F78"/>
    <w:rsid w:val="003E06F2"/>
    <w:rsid w:val="003E2128"/>
    <w:rsid w:val="003E23E7"/>
    <w:rsid w:val="003E2CBC"/>
    <w:rsid w:val="003E3C34"/>
    <w:rsid w:val="003E6600"/>
    <w:rsid w:val="003F3CB9"/>
    <w:rsid w:val="00400BED"/>
    <w:rsid w:val="00403EF9"/>
    <w:rsid w:val="0041219D"/>
    <w:rsid w:val="00412B5A"/>
    <w:rsid w:val="00413011"/>
    <w:rsid w:val="00413AB8"/>
    <w:rsid w:val="00416599"/>
    <w:rsid w:val="00416D14"/>
    <w:rsid w:val="0041739D"/>
    <w:rsid w:val="004207A1"/>
    <w:rsid w:val="004207D9"/>
    <w:rsid w:val="004221C9"/>
    <w:rsid w:val="00423590"/>
    <w:rsid w:val="0043154C"/>
    <w:rsid w:val="00431CD2"/>
    <w:rsid w:val="004329AE"/>
    <w:rsid w:val="00432C00"/>
    <w:rsid w:val="00432F75"/>
    <w:rsid w:val="00433D51"/>
    <w:rsid w:val="00435E65"/>
    <w:rsid w:val="00436886"/>
    <w:rsid w:val="00437370"/>
    <w:rsid w:val="004407EC"/>
    <w:rsid w:val="00441AE6"/>
    <w:rsid w:val="00443CB3"/>
    <w:rsid w:val="0044671B"/>
    <w:rsid w:val="004510FD"/>
    <w:rsid w:val="0045155C"/>
    <w:rsid w:val="00457A57"/>
    <w:rsid w:val="004621A2"/>
    <w:rsid w:val="00462270"/>
    <w:rsid w:val="00462CEE"/>
    <w:rsid w:val="004717D1"/>
    <w:rsid w:val="00476072"/>
    <w:rsid w:val="00482144"/>
    <w:rsid w:val="00482895"/>
    <w:rsid w:val="00483205"/>
    <w:rsid w:val="004835AE"/>
    <w:rsid w:val="0049041F"/>
    <w:rsid w:val="00493032"/>
    <w:rsid w:val="00493C46"/>
    <w:rsid w:val="00493CD5"/>
    <w:rsid w:val="004946DA"/>
    <w:rsid w:val="004958A5"/>
    <w:rsid w:val="00495AFE"/>
    <w:rsid w:val="004A189B"/>
    <w:rsid w:val="004A3C5E"/>
    <w:rsid w:val="004A3F92"/>
    <w:rsid w:val="004A4AED"/>
    <w:rsid w:val="004A5992"/>
    <w:rsid w:val="004B0A92"/>
    <w:rsid w:val="004B4CCA"/>
    <w:rsid w:val="004B56AF"/>
    <w:rsid w:val="004B70AC"/>
    <w:rsid w:val="004C2D9B"/>
    <w:rsid w:val="004C39C2"/>
    <w:rsid w:val="004D2A23"/>
    <w:rsid w:val="004D6373"/>
    <w:rsid w:val="004D648E"/>
    <w:rsid w:val="004E0CCB"/>
    <w:rsid w:val="004E266D"/>
    <w:rsid w:val="004E2A2C"/>
    <w:rsid w:val="004E4946"/>
    <w:rsid w:val="004E5ADD"/>
    <w:rsid w:val="004F0F2B"/>
    <w:rsid w:val="004F0F73"/>
    <w:rsid w:val="004F4449"/>
    <w:rsid w:val="004F4876"/>
    <w:rsid w:val="004F4A78"/>
    <w:rsid w:val="004F5075"/>
    <w:rsid w:val="004F5F83"/>
    <w:rsid w:val="004F612F"/>
    <w:rsid w:val="004F62AE"/>
    <w:rsid w:val="00500F5E"/>
    <w:rsid w:val="00502C16"/>
    <w:rsid w:val="00503166"/>
    <w:rsid w:val="005044DC"/>
    <w:rsid w:val="00504807"/>
    <w:rsid w:val="005062DF"/>
    <w:rsid w:val="00507B65"/>
    <w:rsid w:val="0051192E"/>
    <w:rsid w:val="00513FAF"/>
    <w:rsid w:val="00516896"/>
    <w:rsid w:val="0051788F"/>
    <w:rsid w:val="0052041A"/>
    <w:rsid w:val="005208E4"/>
    <w:rsid w:val="00520A34"/>
    <w:rsid w:val="00520A8A"/>
    <w:rsid w:val="00520D45"/>
    <w:rsid w:val="0052221E"/>
    <w:rsid w:val="00523EEB"/>
    <w:rsid w:val="005243E8"/>
    <w:rsid w:val="00524691"/>
    <w:rsid w:val="00525404"/>
    <w:rsid w:val="00527173"/>
    <w:rsid w:val="0053192E"/>
    <w:rsid w:val="00540440"/>
    <w:rsid w:val="005452E1"/>
    <w:rsid w:val="00546D94"/>
    <w:rsid w:val="00547280"/>
    <w:rsid w:val="00555901"/>
    <w:rsid w:val="00557DB8"/>
    <w:rsid w:val="005605E2"/>
    <w:rsid w:val="00564063"/>
    <w:rsid w:val="00567ABC"/>
    <w:rsid w:val="005767A6"/>
    <w:rsid w:val="005778AD"/>
    <w:rsid w:val="0058196E"/>
    <w:rsid w:val="005831F5"/>
    <w:rsid w:val="00585FCA"/>
    <w:rsid w:val="00586A1B"/>
    <w:rsid w:val="00591F3B"/>
    <w:rsid w:val="00592C13"/>
    <w:rsid w:val="00592C9A"/>
    <w:rsid w:val="00596A18"/>
    <w:rsid w:val="00597702"/>
    <w:rsid w:val="005A73C2"/>
    <w:rsid w:val="005A744B"/>
    <w:rsid w:val="005B323C"/>
    <w:rsid w:val="005B4789"/>
    <w:rsid w:val="005B519F"/>
    <w:rsid w:val="005B5520"/>
    <w:rsid w:val="005B6E72"/>
    <w:rsid w:val="005C10E4"/>
    <w:rsid w:val="005C4034"/>
    <w:rsid w:val="005C40DD"/>
    <w:rsid w:val="005C58EB"/>
    <w:rsid w:val="005D2746"/>
    <w:rsid w:val="005E1D06"/>
    <w:rsid w:val="005E75B7"/>
    <w:rsid w:val="005F0791"/>
    <w:rsid w:val="005F408E"/>
    <w:rsid w:val="005F68E1"/>
    <w:rsid w:val="005F6D50"/>
    <w:rsid w:val="005F706E"/>
    <w:rsid w:val="006024D6"/>
    <w:rsid w:val="00604C76"/>
    <w:rsid w:val="00607B97"/>
    <w:rsid w:val="00611B35"/>
    <w:rsid w:val="00613595"/>
    <w:rsid w:val="006142F5"/>
    <w:rsid w:val="00614C60"/>
    <w:rsid w:val="006203B1"/>
    <w:rsid w:val="00620BC7"/>
    <w:rsid w:val="00620BE5"/>
    <w:rsid w:val="00624AE1"/>
    <w:rsid w:val="00626DB8"/>
    <w:rsid w:val="006272D3"/>
    <w:rsid w:val="00627E99"/>
    <w:rsid w:val="0063299A"/>
    <w:rsid w:val="006351F0"/>
    <w:rsid w:val="006442D1"/>
    <w:rsid w:val="00646A6B"/>
    <w:rsid w:val="00646AAE"/>
    <w:rsid w:val="00651333"/>
    <w:rsid w:val="006519DA"/>
    <w:rsid w:val="00655270"/>
    <w:rsid w:val="00655C6C"/>
    <w:rsid w:val="00657CCE"/>
    <w:rsid w:val="006605B8"/>
    <w:rsid w:val="00662ABE"/>
    <w:rsid w:val="006669BD"/>
    <w:rsid w:val="0067052F"/>
    <w:rsid w:val="006707A4"/>
    <w:rsid w:val="0067119B"/>
    <w:rsid w:val="00672093"/>
    <w:rsid w:val="0067357E"/>
    <w:rsid w:val="0067636C"/>
    <w:rsid w:val="00676E1B"/>
    <w:rsid w:val="00677A51"/>
    <w:rsid w:val="00686FCA"/>
    <w:rsid w:val="00687AA9"/>
    <w:rsid w:val="00687D62"/>
    <w:rsid w:val="006907C1"/>
    <w:rsid w:val="00690999"/>
    <w:rsid w:val="00690DF8"/>
    <w:rsid w:val="00692DC4"/>
    <w:rsid w:val="00694D9C"/>
    <w:rsid w:val="00697BF7"/>
    <w:rsid w:val="006A40AB"/>
    <w:rsid w:val="006A55B9"/>
    <w:rsid w:val="006A7E8E"/>
    <w:rsid w:val="006B4529"/>
    <w:rsid w:val="006B4D05"/>
    <w:rsid w:val="006B5271"/>
    <w:rsid w:val="006B52DB"/>
    <w:rsid w:val="006B5A54"/>
    <w:rsid w:val="006B7517"/>
    <w:rsid w:val="006B7937"/>
    <w:rsid w:val="006C078D"/>
    <w:rsid w:val="006C50F2"/>
    <w:rsid w:val="006C7C18"/>
    <w:rsid w:val="006D01D0"/>
    <w:rsid w:val="006D15A0"/>
    <w:rsid w:val="006D362E"/>
    <w:rsid w:val="006D4523"/>
    <w:rsid w:val="006D50C8"/>
    <w:rsid w:val="006E29DE"/>
    <w:rsid w:val="006E3135"/>
    <w:rsid w:val="006E4AD6"/>
    <w:rsid w:val="006E5DB8"/>
    <w:rsid w:val="006E653F"/>
    <w:rsid w:val="006E6B4C"/>
    <w:rsid w:val="006E7AF4"/>
    <w:rsid w:val="006F19F9"/>
    <w:rsid w:val="006F35D2"/>
    <w:rsid w:val="006F4722"/>
    <w:rsid w:val="006F4F1C"/>
    <w:rsid w:val="006F59C4"/>
    <w:rsid w:val="006F7059"/>
    <w:rsid w:val="006F712C"/>
    <w:rsid w:val="00702633"/>
    <w:rsid w:val="00704508"/>
    <w:rsid w:val="00706F55"/>
    <w:rsid w:val="00707A41"/>
    <w:rsid w:val="00707AE9"/>
    <w:rsid w:val="0071482E"/>
    <w:rsid w:val="007241C6"/>
    <w:rsid w:val="007251CE"/>
    <w:rsid w:val="00725E63"/>
    <w:rsid w:val="00726C84"/>
    <w:rsid w:val="00730B71"/>
    <w:rsid w:val="0073113A"/>
    <w:rsid w:val="007312D6"/>
    <w:rsid w:val="007327DD"/>
    <w:rsid w:val="007430BB"/>
    <w:rsid w:val="007431B3"/>
    <w:rsid w:val="00743FDD"/>
    <w:rsid w:val="00744A70"/>
    <w:rsid w:val="00746CB0"/>
    <w:rsid w:val="00750CA0"/>
    <w:rsid w:val="007513E5"/>
    <w:rsid w:val="00751B92"/>
    <w:rsid w:val="00751EC2"/>
    <w:rsid w:val="00752E82"/>
    <w:rsid w:val="00754837"/>
    <w:rsid w:val="0075497F"/>
    <w:rsid w:val="00760A57"/>
    <w:rsid w:val="00767C6C"/>
    <w:rsid w:val="007706EE"/>
    <w:rsid w:val="0077107B"/>
    <w:rsid w:val="0077161C"/>
    <w:rsid w:val="0077734A"/>
    <w:rsid w:val="007848D2"/>
    <w:rsid w:val="00785B62"/>
    <w:rsid w:val="00787581"/>
    <w:rsid w:val="00791F5B"/>
    <w:rsid w:val="00793124"/>
    <w:rsid w:val="00794431"/>
    <w:rsid w:val="00796D48"/>
    <w:rsid w:val="007A09A8"/>
    <w:rsid w:val="007A1F5A"/>
    <w:rsid w:val="007A231F"/>
    <w:rsid w:val="007A4A07"/>
    <w:rsid w:val="007A4DA9"/>
    <w:rsid w:val="007A551E"/>
    <w:rsid w:val="007B29E4"/>
    <w:rsid w:val="007B2F2C"/>
    <w:rsid w:val="007C07D3"/>
    <w:rsid w:val="007C4D1D"/>
    <w:rsid w:val="007C4DE7"/>
    <w:rsid w:val="007C56DA"/>
    <w:rsid w:val="007C689F"/>
    <w:rsid w:val="007D3AA8"/>
    <w:rsid w:val="007D4AF9"/>
    <w:rsid w:val="007D7BD4"/>
    <w:rsid w:val="007E2A9A"/>
    <w:rsid w:val="007E2BD1"/>
    <w:rsid w:val="007E36DE"/>
    <w:rsid w:val="007E3FD2"/>
    <w:rsid w:val="007E4E6C"/>
    <w:rsid w:val="007E6E68"/>
    <w:rsid w:val="007F058D"/>
    <w:rsid w:val="007F1EB5"/>
    <w:rsid w:val="007F2E03"/>
    <w:rsid w:val="007F34C8"/>
    <w:rsid w:val="007F5A19"/>
    <w:rsid w:val="007F5E27"/>
    <w:rsid w:val="007F63EA"/>
    <w:rsid w:val="008033B8"/>
    <w:rsid w:val="008114A9"/>
    <w:rsid w:val="008118E2"/>
    <w:rsid w:val="00811CA6"/>
    <w:rsid w:val="0081236A"/>
    <w:rsid w:val="00812EC1"/>
    <w:rsid w:val="00813621"/>
    <w:rsid w:val="00813DB7"/>
    <w:rsid w:val="0081435B"/>
    <w:rsid w:val="00814B4C"/>
    <w:rsid w:val="008174D7"/>
    <w:rsid w:val="00821B3B"/>
    <w:rsid w:val="00822B8D"/>
    <w:rsid w:val="00822CBB"/>
    <w:rsid w:val="008278B9"/>
    <w:rsid w:val="008336CD"/>
    <w:rsid w:val="00833DCA"/>
    <w:rsid w:val="00840E5A"/>
    <w:rsid w:val="00842531"/>
    <w:rsid w:val="0084253A"/>
    <w:rsid w:val="00845491"/>
    <w:rsid w:val="00850DA0"/>
    <w:rsid w:val="00851B2B"/>
    <w:rsid w:val="00856A49"/>
    <w:rsid w:val="008577B3"/>
    <w:rsid w:val="008648F8"/>
    <w:rsid w:val="00865950"/>
    <w:rsid w:val="0087146C"/>
    <w:rsid w:val="008728C7"/>
    <w:rsid w:val="00872DF7"/>
    <w:rsid w:val="008740AE"/>
    <w:rsid w:val="00875065"/>
    <w:rsid w:val="008776C0"/>
    <w:rsid w:val="00882629"/>
    <w:rsid w:val="008863BD"/>
    <w:rsid w:val="0089187A"/>
    <w:rsid w:val="00892C0C"/>
    <w:rsid w:val="008A2E23"/>
    <w:rsid w:val="008A3BAB"/>
    <w:rsid w:val="008A54FD"/>
    <w:rsid w:val="008B5159"/>
    <w:rsid w:val="008B6E10"/>
    <w:rsid w:val="008C22D5"/>
    <w:rsid w:val="008C3B72"/>
    <w:rsid w:val="008C44B8"/>
    <w:rsid w:val="008D0328"/>
    <w:rsid w:val="008D2841"/>
    <w:rsid w:val="008D5806"/>
    <w:rsid w:val="008D69F1"/>
    <w:rsid w:val="008E0361"/>
    <w:rsid w:val="008E07C4"/>
    <w:rsid w:val="008E2125"/>
    <w:rsid w:val="008E501D"/>
    <w:rsid w:val="008E54FC"/>
    <w:rsid w:val="008E5FDA"/>
    <w:rsid w:val="008E7046"/>
    <w:rsid w:val="008E7A21"/>
    <w:rsid w:val="008F4410"/>
    <w:rsid w:val="008F7BD8"/>
    <w:rsid w:val="00903DE7"/>
    <w:rsid w:val="00904BEC"/>
    <w:rsid w:val="0090577F"/>
    <w:rsid w:val="00906511"/>
    <w:rsid w:val="0090718B"/>
    <w:rsid w:val="00910446"/>
    <w:rsid w:val="00913607"/>
    <w:rsid w:val="00920F5C"/>
    <w:rsid w:val="0092477D"/>
    <w:rsid w:val="00925410"/>
    <w:rsid w:val="009324E6"/>
    <w:rsid w:val="009328A6"/>
    <w:rsid w:val="009338BC"/>
    <w:rsid w:val="00935F76"/>
    <w:rsid w:val="0093660D"/>
    <w:rsid w:val="00936FD5"/>
    <w:rsid w:val="0094078A"/>
    <w:rsid w:val="00940DEA"/>
    <w:rsid w:val="00941E16"/>
    <w:rsid w:val="00946629"/>
    <w:rsid w:val="00946A00"/>
    <w:rsid w:val="00950772"/>
    <w:rsid w:val="009511CA"/>
    <w:rsid w:val="00952101"/>
    <w:rsid w:val="00952142"/>
    <w:rsid w:val="009524C3"/>
    <w:rsid w:val="00952F3D"/>
    <w:rsid w:val="00953B72"/>
    <w:rsid w:val="00955404"/>
    <w:rsid w:val="00957B6A"/>
    <w:rsid w:val="009640F2"/>
    <w:rsid w:val="0096647B"/>
    <w:rsid w:val="00973F22"/>
    <w:rsid w:val="00980896"/>
    <w:rsid w:val="009822A0"/>
    <w:rsid w:val="00983FA1"/>
    <w:rsid w:val="00984A89"/>
    <w:rsid w:val="0098501D"/>
    <w:rsid w:val="00986DC1"/>
    <w:rsid w:val="009917E3"/>
    <w:rsid w:val="00994413"/>
    <w:rsid w:val="00994910"/>
    <w:rsid w:val="009953DA"/>
    <w:rsid w:val="00996823"/>
    <w:rsid w:val="00996FBB"/>
    <w:rsid w:val="009973F7"/>
    <w:rsid w:val="00997843"/>
    <w:rsid w:val="009A31E3"/>
    <w:rsid w:val="009A39DC"/>
    <w:rsid w:val="009A3AEC"/>
    <w:rsid w:val="009A408C"/>
    <w:rsid w:val="009A62C9"/>
    <w:rsid w:val="009A716E"/>
    <w:rsid w:val="009B0771"/>
    <w:rsid w:val="009B4400"/>
    <w:rsid w:val="009B74D1"/>
    <w:rsid w:val="009C06F4"/>
    <w:rsid w:val="009C5794"/>
    <w:rsid w:val="009D28E8"/>
    <w:rsid w:val="009D2F49"/>
    <w:rsid w:val="009D3151"/>
    <w:rsid w:val="009D4E86"/>
    <w:rsid w:val="009D648E"/>
    <w:rsid w:val="009E2639"/>
    <w:rsid w:val="009E336C"/>
    <w:rsid w:val="009E4B29"/>
    <w:rsid w:val="009E4CF4"/>
    <w:rsid w:val="009E4E5C"/>
    <w:rsid w:val="009E4F9B"/>
    <w:rsid w:val="009F11AD"/>
    <w:rsid w:val="009F14F0"/>
    <w:rsid w:val="009F3A4A"/>
    <w:rsid w:val="009F7393"/>
    <w:rsid w:val="00A01C8B"/>
    <w:rsid w:val="00A01E04"/>
    <w:rsid w:val="00A061C6"/>
    <w:rsid w:val="00A16495"/>
    <w:rsid w:val="00A1772E"/>
    <w:rsid w:val="00A20D67"/>
    <w:rsid w:val="00A21344"/>
    <w:rsid w:val="00A25E54"/>
    <w:rsid w:val="00A317E7"/>
    <w:rsid w:val="00A3324A"/>
    <w:rsid w:val="00A41200"/>
    <w:rsid w:val="00A50B8E"/>
    <w:rsid w:val="00A55339"/>
    <w:rsid w:val="00A56CB2"/>
    <w:rsid w:val="00A605C7"/>
    <w:rsid w:val="00A61C2D"/>
    <w:rsid w:val="00A62452"/>
    <w:rsid w:val="00A62EC1"/>
    <w:rsid w:val="00A7074E"/>
    <w:rsid w:val="00A7271D"/>
    <w:rsid w:val="00A74C66"/>
    <w:rsid w:val="00A7556A"/>
    <w:rsid w:val="00A75CF8"/>
    <w:rsid w:val="00A764C6"/>
    <w:rsid w:val="00A82348"/>
    <w:rsid w:val="00A8412F"/>
    <w:rsid w:val="00A84CB0"/>
    <w:rsid w:val="00A84F98"/>
    <w:rsid w:val="00A9046A"/>
    <w:rsid w:val="00A91736"/>
    <w:rsid w:val="00A91E77"/>
    <w:rsid w:val="00A921D9"/>
    <w:rsid w:val="00A92638"/>
    <w:rsid w:val="00A929A5"/>
    <w:rsid w:val="00A933FF"/>
    <w:rsid w:val="00A93E93"/>
    <w:rsid w:val="00A950A0"/>
    <w:rsid w:val="00AA0E77"/>
    <w:rsid w:val="00AA3865"/>
    <w:rsid w:val="00AA49E8"/>
    <w:rsid w:val="00AA54DC"/>
    <w:rsid w:val="00AA6448"/>
    <w:rsid w:val="00AA65BB"/>
    <w:rsid w:val="00AB145E"/>
    <w:rsid w:val="00AC3594"/>
    <w:rsid w:val="00AC43D9"/>
    <w:rsid w:val="00AC467A"/>
    <w:rsid w:val="00AC703A"/>
    <w:rsid w:val="00AD15BC"/>
    <w:rsid w:val="00AD15E1"/>
    <w:rsid w:val="00AD1BB9"/>
    <w:rsid w:val="00AD2E5F"/>
    <w:rsid w:val="00AD3085"/>
    <w:rsid w:val="00AD5725"/>
    <w:rsid w:val="00AE26C6"/>
    <w:rsid w:val="00AE2ACD"/>
    <w:rsid w:val="00AE36EB"/>
    <w:rsid w:val="00AE4134"/>
    <w:rsid w:val="00AE4E8D"/>
    <w:rsid w:val="00AF15E8"/>
    <w:rsid w:val="00AF23FB"/>
    <w:rsid w:val="00B02624"/>
    <w:rsid w:val="00B02D0F"/>
    <w:rsid w:val="00B04842"/>
    <w:rsid w:val="00B10168"/>
    <w:rsid w:val="00B10603"/>
    <w:rsid w:val="00B130CC"/>
    <w:rsid w:val="00B156EF"/>
    <w:rsid w:val="00B161BD"/>
    <w:rsid w:val="00B17B15"/>
    <w:rsid w:val="00B211BF"/>
    <w:rsid w:val="00B22014"/>
    <w:rsid w:val="00B23848"/>
    <w:rsid w:val="00B244DC"/>
    <w:rsid w:val="00B26B75"/>
    <w:rsid w:val="00B27091"/>
    <w:rsid w:val="00B2795C"/>
    <w:rsid w:val="00B27B49"/>
    <w:rsid w:val="00B30C50"/>
    <w:rsid w:val="00B31B7A"/>
    <w:rsid w:val="00B32073"/>
    <w:rsid w:val="00B32A22"/>
    <w:rsid w:val="00B34198"/>
    <w:rsid w:val="00B35F2A"/>
    <w:rsid w:val="00B36A95"/>
    <w:rsid w:val="00B4577D"/>
    <w:rsid w:val="00B4700B"/>
    <w:rsid w:val="00B4738A"/>
    <w:rsid w:val="00B47D63"/>
    <w:rsid w:val="00B50286"/>
    <w:rsid w:val="00B55D7E"/>
    <w:rsid w:val="00B62F12"/>
    <w:rsid w:val="00B63455"/>
    <w:rsid w:val="00B634A6"/>
    <w:rsid w:val="00B64573"/>
    <w:rsid w:val="00B65ABB"/>
    <w:rsid w:val="00B71FD5"/>
    <w:rsid w:val="00B7661A"/>
    <w:rsid w:val="00B8306B"/>
    <w:rsid w:val="00B8650C"/>
    <w:rsid w:val="00B86A39"/>
    <w:rsid w:val="00B8779F"/>
    <w:rsid w:val="00B910D8"/>
    <w:rsid w:val="00B916A3"/>
    <w:rsid w:val="00B95D85"/>
    <w:rsid w:val="00B967F5"/>
    <w:rsid w:val="00BA2A4A"/>
    <w:rsid w:val="00BA4D95"/>
    <w:rsid w:val="00BA50A8"/>
    <w:rsid w:val="00BA6296"/>
    <w:rsid w:val="00BA6321"/>
    <w:rsid w:val="00BB0A71"/>
    <w:rsid w:val="00BB38EB"/>
    <w:rsid w:val="00BB5F77"/>
    <w:rsid w:val="00BB6A8F"/>
    <w:rsid w:val="00BB6FEE"/>
    <w:rsid w:val="00BC10B0"/>
    <w:rsid w:val="00BC5169"/>
    <w:rsid w:val="00BC5F23"/>
    <w:rsid w:val="00BC6A3E"/>
    <w:rsid w:val="00BC7440"/>
    <w:rsid w:val="00BE0489"/>
    <w:rsid w:val="00BE366A"/>
    <w:rsid w:val="00BF2E14"/>
    <w:rsid w:val="00C01377"/>
    <w:rsid w:val="00C0316A"/>
    <w:rsid w:val="00C031FA"/>
    <w:rsid w:val="00C0539B"/>
    <w:rsid w:val="00C0702E"/>
    <w:rsid w:val="00C12159"/>
    <w:rsid w:val="00C1239A"/>
    <w:rsid w:val="00C127A9"/>
    <w:rsid w:val="00C13D19"/>
    <w:rsid w:val="00C149A4"/>
    <w:rsid w:val="00C14CCA"/>
    <w:rsid w:val="00C16831"/>
    <w:rsid w:val="00C17FF1"/>
    <w:rsid w:val="00C2415C"/>
    <w:rsid w:val="00C25926"/>
    <w:rsid w:val="00C27E77"/>
    <w:rsid w:val="00C31057"/>
    <w:rsid w:val="00C32AA1"/>
    <w:rsid w:val="00C3359D"/>
    <w:rsid w:val="00C37F67"/>
    <w:rsid w:val="00C418F4"/>
    <w:rsid w:val="00C42A23"/>
    <w:rsid w:val="00C45006"/>
    <w:rsid w:val="00C50F07"/>
    <w:rsid w:val="00C52B20"/>
    <w:rsid w:val="00C5318A"/>
    <w:rsid w:val="00C63242"/>
    <w:rsid w:val="00C6412F"/>
    <w:rsid w:val="00C66CF1"/>
    <w:rsid w:val="00C67855"/>
    <w:rsid w:val="00C71557"/>
    <w:rsid w:val="00C7452A"/>
    <w:rsid w:val="00C748FB"/>
    <w:rsid w:val="00C76AC2"/>
    <w:rsid w:val="00C82551"/>
    <w:rsid w:val="00C879BD"/>
    <w:rsid w:val="00C94445"/>
    <w:rsid w:val="00C962F3"/>
    <w:rsid w:val="00C9704D"/>
    <w:rsid w:val="00CA16B2"/>
    <w:rsid w:val="00CA4CE3"/>
    <w:rsid w:val="00CA50C0"/>
    <w:rsid w:val="00CA57E2"/>
    <w:rsid w:val="00CA666A"/>
    <w:rsid w:val="00CA78C3"/>
    <w:rsid w:val="00CB1976"/>
    <w:rsid w:val="00CB3327"/>
    <w:rsid w:val="00CC1A90"/>
    <w:rsid w:val="00CC248D"/>
    <w:rsid w:val="00CC2991"/>
    <w:rsid w:val="00CC54BD"/>
    <w:rsid w:val="00CD02EA"/>
    <w:rsid w:val="00CD40C9"/>
    <w:rsid w:val="00CD60E5"/>
    <w:rsid w:val="00CD66CF"/>
    <w:rsid w:val="00CD6DB8"/>
    <w:rsid w:val="00CE17DA"/>
    <w:rsid w:val="00CE1979"/>
    <w:rsid w:val="00CE27F3"/>
    <w:rsid w:val="00CE386F"/>
    <w:rsid w:val="00CE435A"/>
    <w:rsid w:val="00CE7EC0"/>
    <w:rsid w:val="00CF06F2"/>
    <w:rsid w:val="00CF1A40"/>
    <w:rsid w:val="00CF20F9"/>
    <w:rsid w:val="00CF261A"/>
    <w:rsid w:val="00CF74C4"/>
    <w:rsid w:val="00D00005"/>
    <w:rsid w:val="00D0102A"/>
    <w:rsid w:val="00D02A56"/>
    <w:rsid w:val="00D03324"/>
    <w:rsid w:val="00D035E1"/>
    <w:rsid w:val="00D04553"/>
    <w:rsid w:val="00D04A93"/>
    <w:rsid w:val="00D075D6"/>
    <w:rsid w:val="00D11E2B"/>
    <w:rsid w:val="00D124E5"/>
    <w:rsid w:val="00D144FC"/>
    <w:rsid w:val="00D14A65"/>
    <w:rsid w:val="00D15375"/>
    <w:rsid w:val="00D15AAF"/>
    <w:rsid w:val="00D17BA4"/>
    <w:rsid w:val="00D20DCB"/>
    <w:rsid w:val="00D21338"/>
    <w:rsid w:val="00D25FB4"/>
    <w:rsid w:val="00D3084A"/>
    <w:rsid w:val="00D32C5D"/>
    <w:rsid w:val="00D3344E"/>
    <w:rsid w:val="00D36AB4"/>
    <w:rsid w:val="00D44043"/>
    <w:rsid w:val="00D44BC1"/>
    <w:rsid w:val="00D540A8"/>
    <w:rsid w:val="00D5713A"/>
    <w:rsid w:val="00D62BD9"/>
    <w:rsid w:val="00D6629C"/>
    <w:rsid w:val="00D66EB9"/>
    <w:rsid w:val="00D72576"/>
    <w:rsid w:val="00D733D4"/>
    <w:rsid w:val="00D76DD4"/>
    <w:rsid w:val="00D810FE"/>
    <w:rsid w:val="00D828F8"/>
    <w:rsid w:val="00D84187"/>
    <w:rsid w:val="00D853A4"/>
    <w:rsid w:val="00D90437"/>
    <w:rsid w:val="00D91C92"/>
    <w:rsid w:val="00D92EE0"/>
    <w:rsid w:val="00D93DA8"/>
    <w:rsid w:val="00D940AD"/>
    <w:rsid w:val="00D948C3"/>
    <w:rsid w:val="00D95B1D"/>
    <w:rsid w:val="00D97025"/>
    <w:rsid w:val="00DA14AE"/>
    <w:rsid w:val="00DA3358"/>
    <w:rsid w:val="00DA7C0E"/>
    <w:rsid w:val="00DB2B73"/>
    <w:rsid w:val="00DB3213"/>
    <w:rsid w:val="00DB3350"/>
    <w:rsid w:val="00DB36B5"/>
    <w:rsid w:val="00DB3E56"/>
    <w:rsid w:val="00DB7477"/>
    <w:rsid w:val="00DC38CB"/>
    <w:rsid w:val="00DC3BE0"/>
    <w:rsid w:val="00DC695B"/>
    <w:rsid w:val="00DD0C1B"/>
    <w:rsid w:val="00DD27B3"/>
    <w:rsid w:val="00DD3E95"/>
    <w:rsid w:val="00DD46E1"/>
    <w:rsid w:val="00DD676A"/>
    <w:rsid w:val="00DE1737"/>
    <w:rsid w:val="00DE1752"/>
    <w:rsid w:val="00DE22AE"/>
    <w:rsid w:val="00DF0777"/>
    <w:rsid w:val="00DF4A7D"/>
    <w:rsid w:val="00DF608C"/>
    <w:rsid w:val="00DF7733"/>
    <w:rsid w:val="00DF776C"/>
    <w:rsid w:val="00E00260"/>
    <w:rsid w:val="00E01306"/>
    <w:rsid w:val="00E015FB"/>
    <w:rsid w:val="00E059C8"/>
    <w:rsid w:val="00E0629B"/>
    <w:rsid w:val="00E15256"/>
    <w:rsid w:val="00E15D1F"/>
    <w:rsid w:val="00E15F89"/>
    <w:rsid w:val="00E1689F"/>
    <w:rsid w:val="00E17591"/>
    <w:rsid w:val="00E20C16"/>
    <w:rsid w:val="00E21E5F"/>
    <w:rsid w:val="00E22DB5"/>
    <w:rsid w:val="00E34C75"/>
    <w:rsid w:val="00E35BAC"/>
    <w:rsid w:val="00E370DF"/>
    <w:rsid w:val="00E43E4A"/>
    <w:rsid w:val="00E468B9"/>
    <w:rsid w:val="00E46D77"/>
    <w:rsid w:val="00E52199"/>
    <w:rsid w:val="00E540AC"/>
    <w:rsid w:val="00E558B9"/>
    <w:rsid w:val="00E55DD4"/>
    <w:rsid w:val="00E602DF"/>
    <w:rsid w:val="00E60AB2"/>
    <w:rsid w:val="00E60CE4"/>
    <w:rsid w:val="00E610E9"/>
    <w:rsid w:val="00E63062"/>
    <w:rsid w:val="00E6399C"/>
    <w:rsid w:val="00E63DCD"/>
    <w:rsid w:val="00E654D8"/>
    <w:rsid w:val="00E66F62"/>
    <w:rsid w:val="00E67436"/>
    <w:rsid w:val="00E70E1F"/>
    <w:rsid w:val="00E7696B"/>
    <w:rsid w:val="00E77F09"/>
    <w:rsid w:val="00E8580D"/>
    <w:rsid w:val="00E85DB4"/>
    <w:rsid w:val="00E86DAD"/>
    <w:rsid w:val="00E90670"/>
    <w:rsid w:val="00E90DDD"/>
    <w:rsid w:val="00E923B9"/>
    <w:rsid w:val="00E929B7"/>
    <w:rsid w:val="00E93085"/>
    <w:rsid w:val="00EA017B"/>
    <w:rsid w:val="00EA3EE4"/>
    <w:rsid w:val="00EA7C4C"/>
    <w:rsid w:val="00EB2BE5"/>
    <w:rsid w:val="00EC28A9"/>
    <w:rsid w:val="00EC3833"/>
    <w:rsid w:val="00EC3DE6"/>
    <w:rsid w:val="00EC3FD1"/>
    <w:rsid w:val="00EC4F79"/>
    <w:rsid w:val="00EC5CDC"/>
    <w:rsid w:val="00ED1D99"/>
    <w:rsid w:val="00ED68B8"/>
    <w:rsid w:val="00ED6916"/>
    <w:rsid w:val="00EE0EB2"/>
    <w:rsid w:val="00EE1B0B"/>
    <w:rsid w:val="00EE1FAD"/>
    <w:rsid w:val="00EE45D5"/>
    <w:rsid w:val="00EE6026"/>
    <w:rsid w:val="00EF29A3"/>
    <w:rsid w:val="00EF3E24"/>
    <w:rsid w:val="00EF554A"/>
    <w:rsid w:val="00EF72A9"/>
    <w:rsid w:val="00F04662"/>
    <w:rsid w:val="00F17AB2"/>
    <w:rsid w:val="00F17C85"/>
    <w:rsid w:val="00F210D6"/>
    <w:rsid w:val="00F263F2"/>
    <w:rsid w:val="00F27D4C"/>
    <w:rsid w:val="00F300A3"/>
    <w:rsid w:val="00F30233"/>
    <w:rsid w:val="00F31BC5"/>
    <w:rsid w:val="00F36AD9"/>
    <w:rsid w:val="00F3776D"/>
    <w:rsid w:val="00F400C1"/>
    <w:rsid w:val="00F409D1"/>
    <w:rsid w:val="00F431D7"/>
    <w:rsid w:val="00F437F1"/>
    <w:rsid w:val="00F46726"/>
    <w:rsid w:val="00F50635"/>
    <w:rsid w:val="00F50C5A"/>
    <w:rsid w:val="00F554F4"/>
    <w:rsid w:val="00F57F01"/>
    <w:rsid w:val="00F612C9"/>
    <w:rsid w:val="00F62DCE"/>
    <w:rsid w:val="00F63F85"/>
    <w:rsid w:val="00F6719C"/>
    <w:rsid w:val="00F679E2"/>
    <w:rsid w:val="00F74992"/>
    <w:rsid w:val="00F75645"/>
    <w:rsid w:val="00F801A0"/>
    <w:rsid w:val="00F820E0"/>
    <w:rsid w:val="00F82589"/>
    <w:rsid w:val="00F86959"/>
    <w:rsid w:val="00F916A6"/>
    <w:rsid w:val="00F91DB7"/>
    <w:rsid w:val="00F959D5"/>
    <w:rsid w:val="00F960FB"/>
    <w:rsid w:val="00FA21E5"/>
    <w:rsid w:val="00FA43A1"/>
    <w:rsid w:val="00FA46FA"/>
    <w:rsid w:val="00FA5683"/>
    <w:rsid w:val="00FB10F0"/>
    <w:rsid w:val="00FB1DAF"/>
    <w:rsid w:val="00FB4944"/>
    <w:rsid w:val="00FB55F1"/>
    <w:rsid w:val="00FB56D7"/>
    <w:rsid w:val="00FC021A"/>
    <w:rsid w:val="00FC0824"/>
    <w:rsid w:val="00FC56CB"/>
    <w:rsid w:val="00FC6132"/>
    <w:rsid w:val="00FD3731"/>
    <w:rsid w:val="00FE04B4"/>
    <w:rsid w:val="00FE0F7A"/>
    <w:rsid w:val="00FE2ACF"/>
    <w:rsid w:val="00FE3B0F"/>
    <w:rsid w:val="00FE7F09"/>
    <w:rsid w:val="00FF037E"/>
    <w:rsid w:val="00FF3820"/>
    <w:rsid w:val="00FF3BEC"/>
    <w:rsid w:val="00FF4228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4AB93D0"/>
  <w15:docId w15:val="{F223AB38-AA39-4E23-B2BC-401141E7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C6"/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  <w:style w:type="paragraph" w:styleId="DocumentMap">
    <w:name w:val="Document Map"/>
    <w:basedOn w:val="Normal"/>
    <w:semiHidden/>
    <w:rsid w:val="001A305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0249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A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ana.vignjevic@stat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brzs.stat.gov.rs/WebSite/Public/PageView.aspx?pKey=6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bojana.krzal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0E97-E7AE-42D4-91BD-DB0358E8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4724</CharactersWithSpaces>
  <SharedDoc>false</SharedDoc>
  <HLinks>
    <vt:vector size="6" baseType="variant"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Aleksandra Vuckovic</cp:lastModifiedBy>
  <cp:revision>3</cp:revision>
  <cp:lastPrinted>2017-09-19T07:36:00Z</cp:lastPrinted>
  <dcterms:created xsi:type="dcterms:W3CDTF">2018-06-07T10:44:00Z</dcterms:created>
  <dcterms:modified xsi:type="dcterms:W3CDTF">2018-06-07T10:45:00Z</dcterms:modified>
</cp:coreProperties>
</file>