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1D536B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1D536B" w:rsidRDefault="00C149A4" w:rsidP="00C149A4">
            <w:pPr>
              <w:rPr>
                <w:rFonts w:cs="Arial"/>
                <w:color w:val="808080"/>
                <w:szCs w:val="20"/>
              </w:rPr>
            </w:pPr>
            <w:r w:rsidRPr="001D536B">
              <w:rPr>
                <w:color w:val="808080"/>
                <w:sz w:val="8"/>
                <w:szCs w:val="8"/>
              </w:rPr>
              <w:t xml:space="preserve">  </w:t>
            </w:r>
            <w:r w:rsidR="0041739D" w:rsidRPr="001D536B">
              <w:rPr>
                <w:color w:val="808080"/>
                <w:sz w:val="8"/>
                <w:szCs w:val="8"/>
              </w:rPr>
              <w:t xml:space="preserve">   </w:t>
            </w:r>
            <w:r w:rsidRPr="001D536B">
              <w:rPr>
                <w:color w:val="808080"/>
                <w:sz w:val="8"/>
                <w:szCs w:val="8"/>
              </w:rPr>
              <w:t xml:space="preserve">               </w:t>
            </w:r>
            <w:r w:rsidR="008C6C20" w:rsidRPr="001D536B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C20" w:rsidRPr="001D536B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6DFAF"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1D536B" w:rsidRDefault="004F3089" w:rsidP="002338F2">
            <w:pPr>
              <w:rPr>
                <w:rFonts w:cs="Arial"/>
                <w:szCs w:val="20"/>
              </w:rPr>
            </w:pPr>
            <w:r w:rsidRPr="001D536B">
              <w:rPr>
                <w:rFonts w:cs="Arial"/>
                <w:szCs w:val="20"/>
              </w:rPr>
              <w:t>Republic of Serbia</w:t>
            </w:r>
          </w:p>
          <w:p w:rsidR="002577D1" w:rsidRPr="001D536B" w:rsidRDefault="004F3089" w:rsidP="002338F2">
            <w:pPr>
              <w:rPr>
                <w:rFonts w:cs="Arial"/>
                <w:szCs w:val="20"/>
              </w:rPr>
            </w:pPr>
            <w:r w:rsidRPr="001D536B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1D536B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1D536B">
              <w:rPr>
                <w:rFonts w:cs="Arial"/>
                <w:szCs w:val="20"/>
              </w:rPr>
              <w:t>ISSN 0353-9555</w:t>
            </w:r>
          </w:p>
        </w:tc>
      </w:tr>
      <w:tr w:rsidR="002577D1" w:rsidRPr="001D536B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1D536B" w:rsidRDefault="004F3089" w:rsidP="002338F2">
            <w:pPr>
              <w:rPr>
                <w:color w:val="808080"/>
                <w:szCs w:val="20"/>
              </w:rPr>
            </w:pPr>
            <w:r w:rsidRPr="001D536B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1D536B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1D536B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1D536B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1D536B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1D536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1D536B" w:rsidRDefault="004F3089" w:rsidP="00B07862">
            <w:pPr>
              <w:rPr>
                <w:rFonts w:cs="Arial"/>
                <w:szCs w:val="20"/>
              </w:rPr>
            </w:pPr>
            <w:r w:rsidRPr="001D536B">
              <w:rPr>
                <w:rFonts w:cs="Arial"/>
                <w:szCs w:val="20"/>
              </w:rPr>
              <w:t>Number</w:t>
            </w:r>
            <w:r w:rsidR="00C606A3" w:rsidRPr="001D536B">
              <w:rPr>
                <w:rFonts w:cs="Arial"/>
                <w:szCs w:val="20"/>
              </w:rPr>
              <w:t xml:space="preserve"> </w:t>
            </w:r>
            <w:r w:rsidR="00B07862" w:rsidRPr="001D536B">
              <w:rPr>
                <w:rFonts w:cs="Arial"/>
                <w:szCs w:val="20"/>
              </w:rPr>
              <w:t>235</w:t>
            </w:r>
            <w:r w:rsidR="00EC223C" w:rsidRPr="001D536B">
              <w:rPr>
                <w:rFonts w:cs="Arial"/>
                <w:szCs w:val="20"/>
              </w:rPr>
              <w:t xml:space="preserve"> - </w:t>
            </w:r>
            <w:r w:rsidRPr="001D536B">
              <w:rPr>
                <w:rFonts w:cs="Arial"/>
                <w:szCs w:val="20"/>
              </w:rPr>
              <w:t>Year</w:t>
            </w:r>
            <w:r w:rsidR="00EC223C" w:rsidRPr="001D536B">
              <w:rPr>
                <w:rFonts w:cs="Arial"/>
                <w:szCs w:val="20"/>
              </w:rPr>
              <w:t xml:space="preserve"> LX</w:t>
            </w:r>
            <w:r w:rsidR="00A65C70" w:rsidRPr="001D536B">
              <w:rPr>
                <w:rFonts w:cs="Arial"/>
                <w:szCs w:val="20"/>
              </w:rPr>
              <w:t>V</w:t>
            </w:r>
            <w:r w:rsidR="00831689" w:rsidRPr="001D536B">
              <w:rPr>
                <w:rFonts w:cs="Arial"/>
                <w:szCs w:val="20"/>
              </w:rPr>
              <w:t>I</w:t>
            </w:r>
            <w:r w:rsidR="002815E4" w:rsidRPr="001D536B">
              <w:rPr>
                <w:rFonts w:cs="Arial"/>
                <w:szCs w:val="20"/>
              </w:rPr>
              <w:t>I</w:t>
            </w:r>
            <w:r w:rsidR="00EC223C" w:rsidRPr="001D536B">
              <w:rPr>
                <w:rFonts w:cs="Arial"/>
                <w:szCs w:val="20"/>
              </w:rPr>
              <w:t>, 0</w:t>
            </w:r>
            <w:r w:rsidR="00845A19" w:rsidRPr="001D536B">
              <w:rPr>
                <w:rFonts w:cs="Arial"/>
                <w:szCs w:val="20"/>
              </w:rPr>
              <w:t>1</w:t>
            </w:r>
            <w:r w:rsidR="00D9176A" w:rsidRPr="001D536B">
              <w:rPr>
                <w:rFonts w:cs="Arial"/>
                <w:szCs w:val="20"/>
              </w:rPr>
              <w:t>.</w:t>
            </w:r>
            <w:r w:rsidR="00831689" w:rsidRPr="001D536B">
              <w:rPr>
                <w:rFonts w:cs="Arial"/>
                <w:szCs w:val="20"/>
              </w:rPr>
              <w:t>0</w:t>
            </w:r>
            <w:r w:rsidR="00B07862" w:rsidRPr="001D536B">
              <w:rPr>
                <w:rFonts w:cs="Arial"/>
                <w:szCs w:val="20"/>
              </w:rPr>
              <w:t>9</w:t>
            </w:r>
            <w:r w:rsidR="00EC223C" w:rsidRPr="001D536B">
              <w:rPr>
                <w:rFonts w:cs="Arial"/>
                <w:szCs w:val="20"/>
              </w:rPr>
              <w:t>.</w:t>
            </w:r>
            <w:r w:rsidR="00954E7E" w:rsidRPr="001D536B">
              <w:rPr>
                <w:rFonts w:cs="Arial"/>
                <w:szCs w:val="20"/>
              </w:rPr>
              <w:t>201</w:t>
            </w:r>
            <w:r w:rsidR="00831689" w:rsidRPr="001D536B">
              <w:rPr>
                <w:rFonts w:cs="Arial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1D536B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1D536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D536B" w:rsidRDefault="004F3089" w:rsidP="002338F2">
            <w:pPr>
              <w:rPr>
                <w:b/>
                <w:bCs/>
                <w:sz w:val="24"/>
              </w:rPr>
            </w:pPr>
            <w:r w:rsidRPr="001D536B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D536B" w:rsidRDefault="004F3089" w:rsidP="00B07862">
            <w:pPr>
              <w:jc w:val="right"/>
              <w:rPr>
                <w:szCs w:val="20"/>
              </w:rPr>
            </w:pPr>
            <w:r w:rsidRPr="001D536B">
              <w:rPr>
                <w:szCs w:val="20"/>
              </w:rPr>
              <w:t>SERB</w:t>
            </w:r>
            <w:r w:rsidR="00B07862" w:rsidRPr="001D536B">
              <w:rPr>
                <w:szCs w:val="20"/>
              </w:rPr>
              <w:t>235</w:t>
            </w:r>
            <w:r w:rsidR="00910367" w:rsidRPr="001D536B">
              <w:rPr>
                <w:szCs w:val="20"/>
              </w:rPr>
              <w:t xml:space="preserve"> </w:t>
            </w:r>
            <w:r w:rsidRPr="001D536B">
              <w:rPr>
                <w:szCs w:val="20"/>
              </w:rPr>
              <w:t>P</w:t>
            </w:r>
            <w:r w:rsidR="00EC223C" w:rsidRPr="001D536B">
              <w:rPr>
                <w:szCs w:val="20"/>
              </w:rPr>
              <w:t>М1</w:t>
            </w:r>
            <w:r w:rsidR="00597197" w:rsidRPr="001D536B">
              <w:rPr>
                <w:szCs w:val="20"/>
              </w:rPr>
              <w:t>3</w:t>
            </w:r>
            <w:r w:rsidR="00EC223C" w:rsidRPr="001D536B">
              <w:rPr>
                <w:szCs w:val="20"/>
              </w:rPr>
              <w:t xml:space="preserve"> </w:t>
            </w:r>
            <w:r w:rsidR="00E333DD" w:rsidRPr="001D536B">
              <w:rPr>
                <w:szCs w:val="20"/>
              </w:rPr>
              <w:t>010</w:t>
            </w:r>
            <w:r w:rsidR="00B07862" w:rsidRPr="001D536B">
              <w:rPr>
                <w:szCs w:val="20"/>
              </w:rPr>
              <w:t>9</w:t>
            </w:r>
            <w:r w:rsidR="00E333DD" w:rsidRPr="001D536B">
              <w:rPr>
                <w:szCs w:val="20"/>
              </w:rPr>
              <w:t>17</w:t>
            </w:r>
          </w:p>
        </w:tc>
      </w:tr>
    </w:tbl>
    <w:p w:rsidR="004F3089" w:rsidRPr="001D536B" w:rsidRDefault="004F3089" w:rsidP="004F3089">
      <w:pPr>
        <w:jc w:val="center"/>
        <w:rPr>
          <w:rFonts w:cs="Arial"/>
          <w:b/>
          <w:bCs/>
        </w:rPr>
      </w:pPr>
    </w:p>
    <w:p w:rsidR="004F3089" w:rsidRPr="001D536B" w:rsidRDefault="004F3089" w:rsidP="004F3089">
      <w:pPr>
        <w:jc w:val="center"/>
        <w:rPr>
          <w:rFonts w:cs="Arial"/>
          <w:b/>
          <w:bCs/>
        </w:rPr>
      </w:pPr>
    </w:p>
    <w:p w:rsidR="004F3089" w:rsidRPr="001D536B" w:rsidRDefault="004F3089" w:rsidP="004F3089">
      <w:pPr>
        <w:jc w:val="center"/>
        <w:rPr>
          <w:rFonts w:cs="Arial"/>
          <w:b/>
          <w:bCs/>
          <w:sz w:val="24"/>
        </w:rPr>
      </w:pPr>
      <w:r w:rsidRPr="001D536B">
        <w:rPr>
          <w:rFonts w:cs="Arial"/>
          <w:b/>
          <w:bCs/>
          <w:sz w:val="24"/>
        </w:rPr>
        <w:t>Turnover of Agricultural Products on Green - markets</w:t>
      </w:r>
    </w:p>
    <w:p w:rsidR="00597197" w:rsidRPr="001D536B" w:rsidRDefault="007A1B53" w:rsidP="00597197">
      <w:pPr>
        <w:pStyle w:val="Podnaslovsopstenja"/>
        <w:spacing w:before="120"/>
      </w:pPr>
      <w:r w:rsidRPr="001D536B">
        <w:rPr>
          <w:rFonts w:cs="Arial"/>
        </w:rPr>
        <w:t>–</w:t>
      </w:r>
      <w:r w:rsidR="00597197" w:rsidRPr="001D536B">
        <w:t xml:space="preserve"> I</w:t>
      </w:r>
      <w:r w:rsidR="00933B4A" w:rsidRPr="001D536B">
        <w:t>I</w:t>
      </w:r>
      <w:r w:rsidR="00597197" w:rsidRPr="001D536B">
        <w:t xml:space="preserve"> </w:t>
      </w:r>
      <w:r w:rsidR="004F3089" w:rsidRPr="001D536B">
        <w:t>quarter</w:t>
      </w:r>
      <w:r w:rsidR="00597197" w:rsidRPr="001D536B">
        <w:t xml:space="preserve"> 201</w:t>
      </w:r>
      <w:r w:rsidR="0016598D" w:rsidRPr="001D536B">
        <w:t>7</w:t>
      </w:r>
      <w:r w:rsidR="00597197" w:rsidRPr="001D536B">
        <w:t xml:space="preserve"> </w:t>
      </w:r>
      <w:r w:rsidRPr="001D536B">
        <w:rPr>
          <w:rFonts w:cs="Arial"/>
        </w:rPr>
        <w:t>–</w:t>
      </w:r>
    </w:p>
    <w:p w:rsidR="007B1EF2" w:rsidRPr="001D536B" w:rsidRDefault="007B1EF2" w:rsidP="00597197">
      <w:pPr>
        <w:pStyle w:val="Podnaslovsopstenja"/>
        <w:spacing w:before="120"/>
        <w:rPr>
          <w:sz w:val="16"/>
          <w:szCs w:val="16"/>
        </w:rPr>
      </w:pPr>
    </w:p>
    <w:p w:rsidR="004F3089" w:rsidRPr="001D536B" w:rsidRDefault="004F3089" w:rsidP="0016598D">
      <w:pPr>
        <w:spacing w:before="120" w:after="120"/>
        <w:ind w:firstLine="397"/>
        <w:jc w:val="both"/>
        <w:rPr>
          <w:rFonts w:cs="Arial"/>
          <w:szCs w:val="20"/>
        </w:rPr>
      </w:pPr>
      <w:r w:rsidRPr="001D536B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1D536B">
        <w:rPr>
          <w:rFonts w:cs="Arial"/>
          <w:szCs w:val="20"/>
        </w:rPr>
        <w:t>in</w:t>
      </w:r>
      <w:r w:rsidR="00E77BAA" w:rsidRPr="001D536B">
        <w:rPr>
          <w:rFonts w:cs="Arial"/>
          <w:szCs w:val="20"/>
        </w:rPr>
        <w:t xml:space="preserve"> </w:t>
      </w:r>
      <w:r w:rsidR="0016598D" w:rsidRPr="001D536B">
        <w:rPr>
          <w:rFonts w:cs="Arial"/>
          <w:szCs w:val="20"/>
        </w:rPr>
        <w:t xml:space="preserve">the first </w:t>
      </w:r>
      <w:r w:rsidR="00933B4A" w:rsidRPr="001D536B">
        <w:rPr>
          <w:rFonts w:cs="Arial"/>
          <w:szCs w:val="20"/>
        </w:rPr>
        <w:t>six months of</w:t>
      </w:r>
      <w:r w:rsidR="0016598D" w:rsidRPr="001D536B">
        <w:rPr>
          <w:rFonts w:cs="Arial"/>
          <w:szCs w:val="20"/>
        </w:rPr>
        <w:t xml:space="preserve"> </w:t>
      </w:r>
      <w:r w:rsidR="00513FF3" w:rsidRPr="001D536B">
        <w:rPr>
          <w:rFonts w:cs="Arial"/>
          <w:szCs w:val="20"/>
        </w:rPr>
        <w:t>201</w:t>
      </w:r>
      <w:r w:rsidR="0016598D" w:rsidRPr="001D536B">
        <w:rPr>
          <w:rFonts w:cs="Arial"/>
          <w:szCs w:val="20"/>
        </w:rPr>
        <w:t>7</w:t>
      </w:r>
      <w:r w:rsidRPr="001D536B">
        <w:rPr>
          <w:rFonts w:cs="Arial"/>
          <w:szCs w:val="20"/>
        </w:rPr>
        <w:t xml:space="preserve">, relative to </w:t>
      </w:r>
      <w:r w:rsidR="00054207" w:rsidRPr="001D536B">
        <w:rPr>
          <w:rFonts w:cs="Arial"/>
          <w:szCs w:val="20"/>
        </w:rPr>
        <w:t xml:space="preserve">the same period </w:t>
      </w:r>
      <w:r w:rsidR="00BB2275" w:rsidRPr="001D536B">
        <w:rPr>
          <w:rFonts w:cs="Arial"/>
          <w:szCs w:val="20"/>
        </w:rPr>
        <w:t>of the previous year</w:t>
      </w:r>
      <w:r w:rsidR="00481A7F" w:rsidRPr="001D536B">
        <w:rPr>
          <w:rFonts w:cs="Arial"/>
          <w:szCs w:val="20"/>
        </w:rPr>
        <w:t xml:space="preserve">, </w:t>
      </w:r>
      <w:r w:rsidR="0016598D" w:rsidRPr="001D536B">
        <w:rPr>
          <w:rFonts w:cs="Arial"/>
          <w:szCs w:val="20"/>
        </w:rPr>
        <w:t>in</w:t>
      </w:r>
      <w:r w:rsidR="00481A7F" w:rsidRPr="001D536B">
        <w:rPr>
          <w:rFonts w:cs="Arial"/>
          <w:szCs w:val="20"/>
        </w:rPr>
        <w:t xml:space="preserve">creased by </w:t>
      </w:r>
      <w:r w:rsidR="0016598D" w:rsidRPr="001D536B">
        <w:rPr>
          <w:rFonts w:cs="Arial"/>
          <w:szCs w:val="20"/>
        </w:rPr>
        <w:t>6</w:t>
      </w:r>
      <w:r w:rsidR="00C97842" w:rsidRPr="001D536B">
        <w:rPr>
          <w:rFonts w:cs="Arial"/>
          <w:szCs w:val="20"/>
        </w:rPr>
        <w:t>.</w:t>
      </w:r>
      <w:r w:rsidR="00933B4A" w:rsidRPr="001D536B">
        <w:rPr>
          <w:rFonts w:cs="Arial"/>
          <w:szCs w:val="20"/>
        </w:rPr>
        <w:t>2</w:t>
      </w:r>
      <w:r w:rsidRPr="001D536B">
        <w:rPr>
          <w:rFonts w:cs="Arial"/>
          <w:szCs w:val="20"/>
        </w:rPr>
        <w:t xml:space="preserve">% at current prices. Referring to the value structure of turnover of agricultural products on green-markets </w:t>
      </w:r>
      <w:r w:rsidR="00067284" w:rsidRPr="001D536B">
        <w:rPr>
          <w:rFonts w:cs="Arial"/>
          <w:szCs w:val="20"/>
        </w:rPr>
        <w:t>in</w:t>
      </w:r>
      <w:r w:rsidR="00E77BAA" w:rsidRPr="001D536B">
        <w:rPr>
          <w:rFonts w:cs="Arial"/>
          <w:szCs w:val="20"/>
        </w:rPr>
        <w:t xml:space="preserve"> </w:t>
      </w:r>
      <w:r w:rsidR="0016598D" w:rsidRPr="001D536B">
        <w:rPr>
          <w:rFonts w:cs="Arial"/>
          <w:szCs w:val="20"/>
        </w:rPr>
        <w:t xml:space="preserve">the first </w:t>
      </w:r>
      <w:r w:rsidR="00933B4A" w:rsidRPr="001D536B">
        <w:rPr>
          <w:rFonts w:cs="Arial"/>
          <w:szCs w:val="20"/>
        </w:rPr>
        <w:t>half of</w:t>
      </w:r>
      <w:r w:rsidR="0016598D" w:rsidRPr="001D536B">
        <w:rPr>
          <w:rFonts w:cs="Arial"/>
          <w:szCs w:val="20"/>
        </w:rPr>
        <w:t xml:space="preserve"> </w:t>
      </w:r>
      <w:r w:rsidR="00513FF3" w:rsidRPr="001D536B">
        <w:rPr>
          <w:rFonts w:cs="Arial"/>
          <w:szCs w:val="20"/>
        </w:rPr>
        <w:t>201</w:t>
      </w:r>
      <w:r w:rsidR="0016598D" w:rsidRPr="001D536B">
        <w:rPr>
          <w:rFonts w:cs="Arial"/>
          <w:szCs w:val="20"/>
        </w:rPr>
        <w:t>7</w:t>
      </w:r>
      <w:r w:rsidRPr="001D536B">
        <w:rPr>
          <w:rFonts w:cs="Arial"/>
          <w:szCs w:val="20"/>
        </w:rPr>
        <w:t xml:space="preserve">, the most noted were the following groups of products: </w:t>
      </w:r>
      <w:r w:rsidR="00FC38AF" w:rsidRPr="001D536B">
        <w:rPr>
          <w:rFonts w:cs="Arial"/>
          <w:szCs w:val="20"/>
        </w:rPr>
        <w:t xml:space="preserve">vegetables </w:t>
      </w:r>
      <w:r w:rsidR="00BB2275" w:rsidRPr="001D536B">
        <w:rPr>
          <w:rFonts w:cs="Arial"/>
          <w:szCs w:val="20"/>
        </w:rPr>
        <w:t>(</w:t>
      </w:r>
      <w:r w:rsidR="0016598D" w:rsidRPr="001D536B">
        <w:rPr>
          <w:rFonts w:cs="Arial"/>
          <w:szCs w:val="20"/>
        </w:rPr>
        <w:t>2</w:t>
      </w:r>
      <w:r w:rsidR="00933B4A" w:rsidRPr="001D536B">
        <w:rPr>
          <w:rFonts w:cs="Arial"/>
          <w:szCs w:val="20"/>
        </w:rPr>
        <w:t>6</w:t>
      </w:r>
      <w:r w:rsidR="00354099" w:rsidRPr="001D536B">
        <w:rPr>
          <w:rFonts w:cs="Arial"/>
          <w:szCs w:val="20"/>
        </w:rPr>
        <w:t>.</w:t>
      </w:r>
      <w:r w:rsidR="0016598D" w:rsidRPr="001D536B">
        <w:rPr>
          <w:rFonts w:cs="Arial"/>
          <w:szCs w:val="20"/>
        </w:rPr>
        <w:t>6</w:t>
      </w:r>
      <w:r w:rsidR="00FC38AF" w:rsidRPr="001D536B">
        <w:rPr>
          <w:rFonts w:cs="Arial"/>
          <w:szCs w:val="20"/>
        </w:rPr>
        <w:t>%</w:t>
      </w:r>
      <w:r w:rsidR="00BB2275" w:rsidRPr="001D536B">
        <w:rPr>
          <w:rFonts w:cs="Arial"/>
          <w:szCs w:val="20"/>
        </w:rPr>
        <w:t>)</w:t>
      </w:r>
      <w:r w:rsidR="00FC38AF" w:rsidRPr="001D536B">
        <w:rPr>
          <w:rFonts w:cs="Arial"/>
          <w:szCs w:val="20"/>
        </w:rPr>
        <w:t xml:space="preserve">, </w:t>
      </w:r>
      <w:r w:rsidR="00933B4A" w:rsidRPr="001D536B">
        <w:rPr>
          <w:rFonts w:cs="Arial"/>
          <w:szCs w:val="20"/>
        </w:rPr>
        <w:t xml:space="preserve">fruit and grapes </w:t>
      </w:r>
      <w:r w:rsidR="00BB2275" w:rsidRPr="001D536B">
        <w:rPr>
          <w:rFonts w:cs="Arial"/>
          <w:szCs w:val="20"/>
        </w:rPr>
        <w:t>(</w:t>
      </w:r>
      <w:r w:rsidR="00933B4A" w:rsidRPr="001D536B">
        <w:rPr>
          <w:rFonts w:cs="Arial"/>
          <w:szCs w:val="20"/>
        </w:rPr>
        <w:t>20.4%</w:t>
      </w:r>
      <w:r w:rsidR="00BB2275" w:rsidRPr="001D536B">
        <w:rPr>
          <w:rFonts w:cs="Arial"/>
          <w:szCs w:val="20"/>
        </w:rPr>
        <w:t>)</w:t>
      </w:r>
      <w:r w:rsidR="00933B4A" w:rsidRPr="001D536B">
        <w:rPr>
          <w:rFonts w:cs="Arial"/>
          <w:szCs w:val="20"/>
        </w:rPr>
        <w:t xml:space="preserve">, </w:t>
      </w:r>
      <w:r w:rsidR="0016598D" w:rsidRPr="001D536B">
        <w:rPr>
          <w:rFonts w:cs="Arial"/>
          <w:szCs w:val="20"/>
        </w:rPr>
        <w:t xml:space="preserve">milk and dairy products </w:t>
      </w:r>
      <w:r w:rsidR="00BB2275" w:rsidRPr="001D536B">
        <w:rPr>
          <w:rFonts w:cs="Arial"/>
          <w:szCs w:val="20"/>
        </w:rPr>
        <w:t>(</w:t>
      </w:r>
      <w:r w:rsidR="0016598D" w:rsidRPr="001D536B">
        <w:rPr>
          <w:rFonts w:cs="Arial"/>
          <w:szCs w:val="20"/>
        </w:rPr>
        <w:t>1</w:t>
      </w:r>
      <w:r w:rsidR="00933B4A" w:rsidRPr="001D536B">
        <w:rPr>
          <w:rFonts w:cs="Arial"/>
          <w:szCs w:val="20"/>
        </w:rPr>
        <w:t>8%</w:t>
      </w:r>
      <w:r w:rsidR="00BB2275" w:rsidRPr="001D536B">
        <w:rPr>
          <w:rFonts w:cs="Arial"/>
          <w:szCs w:val="20"/>
        </w:rPr>
        <w:t>)</w:t>
      </w:r>
      <w:r w:rsidR="0016598D" w:rsidRPr="001D536B">
        <w:rPr>
          <w:rFonts w:cs="Arial"/>
          <w:szCs w:val="20"/>
        </w:rPr>
        <w:t xml:space="preserve"> </w:t>
      </w:r>
      <w:r w:rsidR="00FC38AF" w:rsidRPr="001D536B">
        <w:rPr>
          <w:rFonts w:cs="Arial"/>
          <w:szCs w:val="20"/>
        </w:rPr>
        <w:t xml:space="preserve">and </w:t>
      </w:r>
      <w:r w:rsidRPr="001D536B">
        <w:rPr>
          <w:rFonts w:cs="Arial"/>
          <w:szCs w:val="20"/>
        </w:rPr>
        <w:t xml:space="preserve">poultry and eggs </w:t>
      </w:r>
      <w:r w:rsidR="00BB2275" w:rsidRPr="001D536B">
        <w:rPr>
          <w:rFonts w:cs="Arial"/>
          <w:szCs w:val="20"/>
        </w:rPr>
        <w:t>(</w:t>
      </w:r>
      <w:r w:rsidR="00354099" w:rsidRPr="001D536B">
        <w:rPr>
          <w:rFonts w:cs="Arial"/>
          <w:szCs w:val="20"/>
        </w:rPr>
        <w:t>1</w:t>
      </w:r>
      <w:r w:rsidR="0016598D" w:rsidRPr="001D536B">
        <w:rPr>
          <w:rFonts w:cs="Arial"/>
          <w:szCs w:val="20"/>
        </w:rPr>
        <w:t>6</w:t>
      </w:r>
      <w:r w:rsidR="00354099" w:rsidRPr="001D536B">
        <w:rPr>
          <w:rFonts w:cs="Arial"/>
          <w:szCs w:val="20"/>
        </w:rPr>
        <w:t>.</w:t>
      </w:r>
      <w:r w:rsidR="00933B4A" w:rsidRPr="001D536B">
        <w:rPr>
          <w:rFonts w:cs="Arial"/>
          <w:szCs w:val="20"/>
        </w:rPr>
        <w:t>8</w:t>
      </w:r>
      <w:r w:rsidRPr="001D536B">
        <w:rPr>
          <w:rFonts w:cs="Arial"/>
          <w:szCs w:val="20"/>
        </w:rPr>
        <w:t>%</w:t>
      </w:r>
      <w:r w:rsidR="00BB2275" w:rsidRPr="001D536B">
        <w:rPr>
          <w:rFonts w:cs="Arial"/>
          <w:szCs w:val="20"/>
        </w:rPr>
        <w:t>)</w:t>
      </w:r>
      <w:r w:rsidRPr="001D536B">
        <w:rPr>
          <w:rFonts w:cs="Arial"/>
          <w:szCs w:val="20"/>
        </w:rPr>
        <w:t>.</w:t>
      </w:r>
    </w:p>
    <w:p w:rsidR="00D34E30" w:rsidRPr="001D536B" w:rsidRDefault="00D34E30" w:rsidP="00831689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4F3089" w:rsidRPr="001D536B" w:rsidRDefault="00B07862" w:rsidP="00B07862">
      <w:pPr>
        <w:pStyle w:val="Naslovtabela"/>
        <w:spacing w:after="60"/>
        <w:ind w:left="0" w:firstLine="0"/>
        <w:rPr>
          <w:rFonts w:cs="Arial"/>
          <w:szCs w:val="20"/>
        </w:rPr>
      </w:pPr>
      <w:r w:rsidRPr="001D536B">
        <w:rPr>
          <w:rFonts w:cs="Arial"/>
          <w:szCs w:val="20"/>
        </w:rPr>
        <w:t xml:space="preserve">1. </w:t>
      </w:r>
      <w:r w:rsidR="004F3089" w:rsidRPr="001D536B">
        <w:rPr>
          <w:rFonts w:cs="Arial"/>
          <w:szCs w:val="20"/>
        </w:rPr>
        <w:t>Turnover by regions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B07862" w:rsidRPr="001D536B" w:rsidTr="005D2E0E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120" w:after="120"/>
              <w:jc w:val="center"/>
              <w:rPr>
                <w:position w:val="-12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Turnover, thousand RSD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Indices, current prices</w:t>
            </w:r>
            <w:r w:rsidRPr="001D536B">
              <w:rPr>
                <w:rFonts w:cs="Arial"/>
                <w:sz w:val="16"/>
                <w:szCs w:val="16"/>
                <w:u w:val="single"/>
              </w:rPr>
              <w:t xml:space="preserve">                                                         </w:t>
            </w:r>
          </w:p>
        </w:tc>
      </w:tr>
      <w:tr w:rsidR="00B07862" w:rsidRPr="001D536B" w:rsidTr="005D2E0E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IV–VI 2017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I–VI 2017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2017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7862" w:rsidRPr="001D536B" w:rsidTr="005D2E0E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10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10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10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VI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1D536B">
              <w:rPr>
                <w:sz w:val="16"/>
                <w:szCs w:val="16"/>
                <w:u w:val="single"/>
              </w:rPr>
              <w:t>IV–VI 2017</w:t>
            </w:r>
          </w:p>
          <w:p w:rsidR="00B07862" w:rsidRPr="001D536B" w:rsidRDefault="00B07862" w:rsidP="005D2E0E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IV–VI 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1D536B">
              <w:rPr>
                <w:sz w:val="16"/>
                <w:szCs w:val="16"/>
                <w:u w:val="single"/>
              </w:rPr>
              <w:t>I–VI 2017</w:t>
            </w:r>
          </w:p>
          <w:p w:rsidR="00B07862" w:rsidRPr="001D536B" w:rsidRDefault="00B07862" w:rsidP="005D2E0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I–VI 2016</w:t>
            </w:r>
          </w:p>
        </w:tc>
      </w:tr>
      <w:tr w:rsidR="00B07862" w:rsidRPr="001D536B" w:rsidTr="005D2E0E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7862" w:rsidRPr="001D536B" w:rsidRDefault="00B07862" w:rsidP="005D2E0E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1D536B" w:rsidRDefault="00B07862" w:rsidP="005D2E0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1D536B" w:rsidRDefault="00B07862" w:rsidP="005D2E0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1D536B" w:rsidRDefault="00B07862" w:rsidP="005D2E0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1D536B" w:rsidRDefault="00B07862" w:rsidP="005D2E0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1D536B" w:rsidRDefault="00B07862" w:rsidP="005D2E0E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1D536B" w:rsidRDefault="00B07862" w:rsidP="005D2E0E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B07862" w:rsidRPr="001D536B" w:rsidTr="00DC212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pStyle w:val="Heading1"/>
              <w:spacing w:before="40" w:after="40"/>
              <w:rPr>
                <w:sz w:val="16"/>
                <w:szCs w:val="16"/>
              </w:rPr>
            </w:pPr>
            <w:r w:rsidRPr="001D536B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9224593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17033739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2831496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3126220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3266877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106.2</w:t>
            </w:r>
          </w:p>
        </w:tc>
      </w:tr>
      <w:tr w:rsidR="00B07862" w:rsidRPr="001D536B" w:rsidTr="00DC212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1D536B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5926774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10716607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1747053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2026004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2153717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110.3</w:t>
            </w:r>
          </w:p>
        </w:tc>
      </w:tr>
      <w:tr w:rsidR="00B07862" w:rsidRPr="001D536B" w:rsidTr="00DC212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Beogradski region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4225135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7614813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1198597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1462353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1564185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114.5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114.9</w:t>
            </w:r>
          </w:p>
        </w:tc>
      </w:tr>
      <w:tr w:rsidR="00B07862" w:rsidRPr="001D536B" w:rsidTr="00DC212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Region Vojvodine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1701640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3101794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548456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563651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589532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100.4</w:t>
            </w:r>
          </w:p>
        </w:tc>
      </w:tr>
      <w:tr w:rsidR="00B07862" w:rsidRPr="001D536B" w:rsidTr="00DC212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before="40" w:after="40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SRBIJA – JUG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3297819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6317131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1084443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1100216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1113160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97.2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99.8</w:t>
            </w:r>
          </w:p>
        </w:tc>
      </w:tr>
      <w:tr w:rsidR="00B07862" w:rsidRPr="001D536B" w:rsidTr="00DC2126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1950147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3730558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615331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659563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675253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92.9</w:t>
            </w:r>
          </w:p>
        </w:tc>
      </w:tr>
      <w:tr w:rsidR="00B07862" w:rsidRPr="001D536B" w:rsidTr="00DC212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Region Južne i Istočne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1347672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2586573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469112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440653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437906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108.6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111.9</w:t>
            </w:r>
          </w:p>
        </w:tc>
      </w:tr>
      <w:tr w:rsidR="00B07862" w:rsidRPr="001D536B" w:rsidTr="00DC212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07862" w:rsidRPr="001D536B" w:rsidRDefault="00B07862" w:rsidP="00B0786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07862" w:rsidRPr="001D536B" w:rsidRDefault="00B07862" w:rsidP="00B0786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07862" w:rsidRPr="001D536B" w:rsidRDefault="00B07862" w:rsidP="00B0786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07862" w:rsidRPr="001D536B" w:rsidRDefault="00B07862" w:rsidP="00B0786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07862" w:rsidRPr="001D536B" w:rsidRDefault="00B07862" w:rsidP="00B0786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B07862" w:rsidRPr="001D536B" w:rsidRDefault="00B07862" w:rsidP="00B07862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...</w:t>
            </w:r>
          </w:p>
        </w:tc>
      </w:tr>
    </w:tbl>
    <w:p w:rsidR="0059547A" w:rsidRPr="001D536B" w:rsidRDefault="0059547A" w:rsidP="00A01E07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B07862" w:rsidRPr="001D536B" w:rsidRDefault="00B07862" w:rsidP="00A01E07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A35F6E" w:rsidRPr="001D536B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1D536B">
        <w:rPr>
          <w:rFonts w:cs="Arial"/>
          <w:szCs w:val="20"/>
        </w:rPr>
        <w:t xml:space="preserve">2. </w:t>
      </w:r>
      <w:r w:rsidR="004F3089" w:rsidRPr="001D536B">
        <w:rPr>
          <w:rFonts w:cs="Arial"/>
          <w:szCs w:val="20"/>
        </w:rPr>
        <w:t>Turnover by groups of products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B07862" w:rsidRPr="001D536B" w:rsidTr="005D2E0E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Turnover, thous. RSD</w:t>
            </w:r>
            <w:r w:rsidRPr="001D536B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IV–VI 2017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I–VI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  <w:u w:val="single"/>
              </w:rPr>
              <w:t>IV–VI 2017</w:t>
            </w:r>
          </w:p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1D536B">
              <w:rPr>
                <w:sz w:val="16"/>
                <w:szCs w:val="16"/>
              </w:rPr>
              <w:t>IV–VI 2016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  <w:u w:val="single"/>
              </w:rPr>
              <w:t>I–VI 2017</w:t>
            </w:r>
          </w:p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I–VI 2016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Total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1D536B">
              <w:rPr>
                <w:position w:val="-12"/>
                <w:sz w:val="16"/>
                <w:szCs w:val="16"/>
                <w:u w:val="single"/>
              </w:rPr>
              <w:t>IV 2017</w:t>
            </w:r>
          </w:p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IV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1D536B">
              <w:rPr>
                <w:position w:val="-12"/>
                <w:sz w:val="16"/>
                <w:szCs w:val="16"/>
                <w:u w:val="single"/>
              </w:rPr>
              <w:t>V 2017</w:t>
            </w:r>
          </w:p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V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1D536B">
              <w:rPr>
                <w:position w:val="-12"/>
                <w:sz w:val="16"/>
                <w:szCs w:val="16"/>
                <w:u w:val="single"/>
              </w:rPr>
              <w:t>VI 2017</w:t>
            </w:r>
          </w:p>
          <w:p w:rsidR="00B07862" w:rsidRPr="001D536B" w:rsidRDefault="00B07862" w:rsidP="005D2E0E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VI 2016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862" w:rsidRPr="001D536B" w:rsidRDefault="00B07862" w:rsidP="005D2E0E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C51995" w:rsidP="00B07862">
            <w:pPr>
              <w:rPr>
                <w:b/>
                <w:bCs/>
                <w:sz w:val="16"/>
                <w:szCs w:val="16"/>
              </w:rPr>
            </w:pPr>
            <w:r w:rsidRPr="001D536B">
              <w:rPr>
                <w:rFonts w:cs="Arial"/>
                <w:b/>
                <w:bCs/>
                <w:sz w:val="16"/>
                <w:szCs w:val="16"/>
              </w:rPr>
              <w:t>Republic of Serbia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9224593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17033739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1D536B">
              <w:rPr>
                <w:b/>
                <w:color w:val="000000"/>
                <w:sz w:val="16"/>
                <w:szCs w:val="16"/>
              </w:rPr>
              <w:t>106.4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12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109410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210538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79.1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71.4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98.2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2772035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4537063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112.3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106.0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2048541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3483062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114.8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114.0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113.9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87989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272347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97.4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86.2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1538971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2861573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120.8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119.9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112.0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1543199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3069442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98.2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86.5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98.2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111.6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203806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386225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110.0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248124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850822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71.6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38.8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86196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187566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66.3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75.6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71.0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Other products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586322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1175100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92.2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95.0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96.8</w:t>
            </w:r>
          </w:p>
        </w:tc>
      </w:tr>
    </w:tbl>
    <w:p w:rsidR="00B07862" w:rsidRPr="001D536B" w:rsidRDefault="00B07862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1D536B">
        <w:rPr>
          <w:rFonts w:cs="Arial"/>
          <w:szCs w:val="20"/>
        </w:rPr>
        <w:t xml:space="preserve">   </w:t>
      </w:r>
    </w:p>
    <w:p w:rsidR="00B07862" w:rsidRPr="001D536B" w:rsidRDefault="00B07862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4F3089" w:rsidRPr="001D536B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1D536B">
        <w:rPr>
          <w:rFonts w:cs="Arial"/>
          <w:szCs w:val="20"/>
        </w:rPr>
        <w:lastRenderedPageBreak/>
        <w:t xml:space="preserve">3. </w:t>
      </w:r>
      <w:r w:rsidR="004F3089" w:rsidRPr="001D536B">
        <w:rPr>
          <w:rFonts w:cs="Arial"/>
          <w:szCs w:val="20"/>
        </w:rPr>
        <w:t>Turnover of the selected products</w:t>
      </w:r>
      <w:bookmarkStart w:id="0" w:name="_GoBack"/>
      <w:bookmarkEnd w:id="0"/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B07862" w:rsidRPr="001D536B" w:rsidTr="005D2E0E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Quantities, tons</w:t>
            </w:r>
            <w:r w:rsidRPr="001D536B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IV–VI 2017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I–VI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  <w:u w:val="single"/>
              </w:rPr>
              <w:t>IV–VI 2017</w:t>
            </w:r>
          </w:p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1D536B">
              <w:rPr>
                <w:sz w:val="16"/>
                <w:szCs w:val="16"/>
              </w:rPr>
              <w:t>IV–VI 2016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  <w:u w:val="single"/>
              </w:rPr>
              <w:t>I–VI 2017</w:t>
            </w:r>
          </w:p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I–VI 2016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sz w:val="16"/>
                <w:szCs w:val="16"/>
              </w:rPr>
              <w:t>Total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1D536B">
              <w:rPr>
                <w:position w:val="-12"/>
                <w:sz w:val="16"/>
                <w:szCs w:val="16"/>
                <w:u w:val="single"/>
              </w:rPr>
              <w:t>IV 2017</w:t>
            </w:r>
          </w:p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IV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1D536B">
              <w:rPr>
                <w:position w:val="-12"/>
                <w:sz w:val="16"/>
                <w:szCs w:val="16"/>
                <w:u w:val="single"/>
              </w:rPr>
              <w:t>V 2017</w:t>
            </w:r>
          </w:p>
          <w:p w:rsidR="00B07862" w:rsidRPr="001D536B" w:rsidRDefault="00B07862" w:rsidP="005D2E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V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1D536B">
              <w:rPr>
                <w:position w:val="-12"/>
                <w:sz w:val="16"/>
                <w:szCs w:val="16"/>
                <w:u w:val="single"/>
              </w:rPr>
              <w:t>VI 2017</w:t>
            </w:r>
          </w:p>
          <w:p w:rsidR="00B07862" w:rsidRPr="001D536B" w:rsidRDefault="00B07862" w:rsidP="005D2E0E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1D536B">
              <w:rPr>
                <w:position w:val="-12"/>
                <w:sz w:val="16"/>
                <w:szCs w:val="16"/>
              </w:rPr>
              <w:t>VI 2016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862" w:rsidRPr="001D536B" w:rsidRDefault="00B07862" w:rsidP="005D2E0E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862" w:rsidRPr="001D536B" w:rsidRDefault="00B07862" w:rsidP="005D2E0E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1D536B" w:rsidRDefault="00B07862" w:rsidP="005D2E0E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C51995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C51995" w:rsidRPr="001D536B" w:rsidRDefault="00C51995" w:rsidP="00B07862">
            <w:pPr>
              <w:spacing w:line="288" w:lineRule="auto"/>
              <w:rPr>
                <w:rFonts w:cs="Arial"/>
                <w:b/>
                <w:sz w:val="16"/>
                <w:szCs w:val="16"/>
              </w:rPr>
            </w:pPr>
            <w:r w:rsidRPr="001D536B">
              <w:rPr>
                <w:rFonts w:cs="Arial"/>
                <w:b/>
                <w:sz w:val="16"/>
                <w:szCs w:val="16"/>
              </w:rPr>
              <w:t>Republic of Serbia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1D536B" w:rsidRDefault="00C51995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95" w:rsidRPr="001D536B" w:rsidRDefault="00C51995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1995" w:rsidRPr="001D536B" w:rsidRDefault="00C51995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1D536B" w:rsidRDefault="00C51995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1D536B" w:rsidRDefault="00C51995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1D536B" w:rsidRDefault="00C51995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1D536B" w:rsidRDefault="00C51995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111.9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121.1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106.1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109.3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Maize, grains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1415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75.9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70.1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67.1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115.8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85.4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88.5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97.9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94.1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93.2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98.8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106.7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7155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14516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93.6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68.5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90.3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93.3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 xml:space="preserve">Peppers, fresh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88.3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101.0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2742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3112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97.6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93.3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99.6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before="40" w:after="40"/>
              <w:rPr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2415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2790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105.9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3842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5987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120.4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136.3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186.4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115.6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2205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4283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109.1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3576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6433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116.9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149.5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133.3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122.4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Apples, edible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4557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129.6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120.5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130.1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130.3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128.2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before="40" w:after="40"/>
              <w:rPr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107.8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Walnuts, shelled</w:t>
            </w:r>
          </w:p>
          <w:p w:rsidR="00933B4A" w:rsidRPr="001D536B" w:rsidRDefault="00933B4A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Strawberries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95.2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99.0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72.7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97.1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4356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90.1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142.1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108.7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95.7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98.7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Eggs (consumption), thous. units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2873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119.6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109.0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84873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153969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112.8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107.8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88.5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86.1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87.9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91.4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3247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6516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85.7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98.8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119.3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Fuel wood,  thousand m</w:t>
            </w:r>
            <w:r w:rsidRPr="001D536B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94.9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96.3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97.8</w:t>
            </w:r>
          </w:p>
        </w:tc>
      </w:tr>
      <w:tr w:rsidR="00B07862" w:rsidRPr="001D536B" w:rsidTr="00425AE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B07862" w:rsidRPr="001D536B" w:rsidRDefault="00B07862" w:rsidP="00B0786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1D536B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95.4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83.0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64.9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38.1</w:t>
            </w:r>
          </w:p>
        </w:tc>
      </w:tr>
      <w:tr w:rsidR="00B07862" w:rsidRPr="001D536B" w:rsidTr="005D2E0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1D536B" w:rsidRDefault="00B07862" w:rsidP="00B0786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58.0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1D536B" w:rsidRDefault="00B07862" w:rsidP="00B0786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536B">
              <w:rPr>
                <w:color w:val="000000"/>
                <w:sz w:val="16"/>
                <w:szCs w:val="16"/>
              </w:rPr>
              <w:t>63.5</w:t>
            </w:r>
          </w:p>
        </w:tc>
      </w:tr>
    </w:tbl>
    <w:p w:rsidR="006F270B" w:rsidRPr="001D536B" w:rsidRDefault="006F270B" w:rsidP="00597197">
      <w:pPr>
        <w:pStyle w:val="NaslovMetodologijaiNapomena"/>
      </w:pPr>
    </w:p>
    <w:p w:rsidR="00597197" w:rsidRPr="001D536B" w:rsidRDefault="004973CD" w:rsidP="00597197">
      <w:pPr>
        <w:pStyle w:val="NaslovMetodologijaiNapomena"/>
      </w:pPr>
      <w:r w:rsidRPr="001D536B">
        <w:t>Methodological notes</w:t>
      </w:r>
    </w:p>
    <w:p w:rsidR="00625278" w:rsidRPr="001D536B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1D536B">
        <w:rPr>
          <w:rFonts w:cs="Arial"/>
          <w:szCs w:val="20"/>
        </w:rPr>
        <w:t xml:space="preserve">Data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1D536B">
        <w:rPr>
          <w:rFonts w:cs="Arial"/>
          <w:szCs w:val="20"/>
        </w:rPr>
        <w:t>holdings</w:t>
      </w:r>
      <w:r w:rsidRPr="001D536B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1D536B">
        <w:rPr>
          <w:rFonts w:cs="Arial"/>
          <w:szCs w:val="20"/>
        </w:rPr>
        <w:t>s</w:t>
      </w:r>
      <w:r w:rsidRPr="001D536B">
        <w:rPr>
          <w:rFonts w:cs="Arial"/>
          <w:szCs w:val="20"/>
        </w:rPr>
        <w:t xml:space="preserve">tatistical </w:t>
      </w:r>
      <w:r w:rsidR="00833792" w:rsidRPr="001D536B">
        <w:rPr>
          <w:rFonts w:cs="Arial"/>
          <w:szCs w:val="20"/>
        </w:rPr>
        <w:t>r</w:t>
      </w:r>
      <w:r w:rsidRPr="001D536B">
        <w:rPr>
          <w:rFonts w:cs="Arial"/>
          <w:szCs w:val="20"/>
        </w:rPr>
        <w:t xml:space="preserve">elease. </w:t>
      </w:r>
    </w:p>
    <w:p w:rsidR="004973CD" w:rsidRPr="001D536B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1D536B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1D536B">
        <w:rPr>
          <w:rFonts w:cs="Arial"/>
          <w:szCs w:val="20"/>
        </w:rPr>
        <w:t>j</w:t>
      </w:r>
      <w:r w:rsidRPr="001D536B">
        <w:rPr>
          <w:rFonts w:cs="Arial"/>
          <w:szCs w:val="20"/>
        </w:rPr>
        <w:t>a and therefore these data are not included in the coverage for the Republic of Serbia (total).</w:t>
      </w:r>
    </w:p>
    <w:p w:rsidR="00D511A9" w:rsidRPr="001D536B" w:rsidRDefault="00625278" w:rsidP="005A6DAC">
      <w:pPr>
        <w:pStyle w:val="TekstMetodologijaiNapomena"/>
        <w:ind w:firstLine="403"/>
        <w:rPr>
          <w:lang w:val="en-GB"/>
        </w:rPr>
      </w:pPr>
      <w:r w:rsidRPr="001D536B">
        <w:rPr>
          <w:lang w:val="en-GB"/>
        </w:rPr>
        <w:t>More detailed methodological explanations of this survey are a</w:t>
      </w:r>
      <w:r w:rsidR="00833792" w:rsidRPr="001D536B">
        <w:rPr>
          <w:lang w:val="en-GB"/>
        </w:rPr>
        <w:t xml:space="preserve">vailable on the website of the </w:t>
      </w:r>
      <w:r w:rsidRPr="001D536B">
        <w:rPr>
          <w:lang w:val="en-GB"/>
        </w:rPr>
        <w:t>Statistical Office of the Republic of Serbia</w:t>
      </w:r>
      <w:r w:rsidRPr="001D536B">
        <w:rPr>
          <w:color w:val="000000"/>
          <w:lang w:val="en-GB"/>
        </w:rPr>
        <w:t xml:space="preserve">: </w:t>
      </w:r>
      <w:hyperlink r:id="rId8" w:history="1">
        <w:r w:rsidRPr="001D536B">
          <w:rPr>
            <w:rStyle w:val="Hyperlink"/>
            <w:lang w:val="en-GB"/>
          </w:rPr>
          <w:t>http://webrzs.stat.gov.rs/WebSite/Public/PageView.aspx?pKey=105</w:t>
        </w:r>
      </w:hyperlink>
    </w:p>
    <w:p w:rsidR="0044522A" w:rsidRPr="001D536B" w:rsidRDefault="0044522A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D536B">
        <w:tc>
          <w:tcPr>
            <w:tcW w:w="9379" w:type="dxa"/>
            <w:shd w:val="clear" w:color="auto" w:fill="auto"/>
          </w:tcPr>
          <w:p w:rsidR="00246DBC" w:rsidRPr="001D536B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1D536B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9" w:history="1">
              <w:r w:rsidRPr="001D536B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1D536B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1D536B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1D536B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D536B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1D536B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D536B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1D536B">
              <w:rPr>
                <w:rFonts w:cs="Arial"/>
                <w:sz w:val="18"/>
                <w:szCs w:val="18"/>
              </w:rPr>
              <w:t xml:space="preserve">(telephone exchange) </w:t>
            </w:r>
            <w:r w:rsidRPr="001D536B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1D536B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D536B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1D536B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1D536B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1D536B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D34E30" w:rsidRPr="001D536B" w:rsidRDefault="00D34E30" w:rsidP="00D34E30"/>
    <w:p w:rsidR="00C83DE7" w:rsidRPr="001D536B" w:rsidRDefault="00C83DE7" w:rsidP="004973CD"/>
    <w:sectPr w:rsidR="00C83DE7" w:rsidRPr="001D536B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80" w:rsidRDefault="00997A80">
      <w:r>
        <w:separator/>
      </w:r>
    </w:p>
  </w:endnote>
  <w:endnote w:type="continuationSeparator" w:id="0">
    <w:p w:rsidR="00997A80" w:rsidRDefault="0099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5"/>
      <w:gridCol w:w="5110"/>
    </w:tblGrid>
    <w:tr w:rsidR="002614A1" w:rsidRPr="00E333DD">
      <w:tc>
        <w:tcPr>
          <w:tcW w:w="5210" w:type="dxa"/>
          <w:shd w:val="clear" w:color="auto" w:fill="auto"/>
        </w:tcPr>
        <w:p w:rsidR="002614A1" w:rsidRPr="00E333DD" w:rsidRDefault="002614A1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BF4023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2614A1" w:rsidRPr="00E333DD" w:rsidRDefault="002614A1" w:rsidP="00B07862">
          <w:pPr>
            <w:spacing w:before="120"/>
            <w:jc w:val="right"/>
            <w:rPr>
              <w:bCs/>
              <w:sz w:val="16"/>
              <w:szCs w:val="16"/>
              <w:lang w:val="sr-Cyrl-RS"/>
            </w:rPr>
          </w:pPr>
          <w:r w:rsidRPr="00E333DD">
            <w:rPr>
              <w:bCs/>
              <w:sz w:val="16"/>
              <w:szCs w:val="16"/>
            </w:rPr>
            <w:t>SERB</w:t>
          </w:r>
          <w:r w:rsidR="00B07862">
            <w:rPr>
              <w:bCs/>
              <w:sz w:val="16"/>
              <w:szCs w:val="16"/>
            </w:rPr>
            <w:t>235</w:t>
          </w:r>
          <w:r w:rsidRPr="00E333DD">
            <w:rPr>
              <w:bCs/>
              <w:sz w:val="16"/>
              <w:szCs w:val="16"/>
            </w:rPr>
            <w:t xml:space="preserve"> PM13 </w:t>
          </w:r>
          <w:r w:rsidR="0059547A" w:rsidRPr="00E333DD">
            <w:rPr>
              <w:bCs/>
              <w:sz w:val="16"/>
              <w:szCs w:val="16"/>
              <w:lang w:val="sr-Latn-CS"/>
            </w:rPr>
            <w:t>01</w:t>
          </w:r>
          <w:r w:rsidR="00831689" w:rsidRPr="00E333DD">
            <w:rPr>
              <w:bCs/>
              <w:sz w:val="16"/>
              <w:szCs w:val="16"/>
              <w:lang w:val="sr-Cyrl-RS"/>
            </w:rPr>
            <w:t>0</w:t>
          </w:r>
          <w:r w:rsidR="00B07862">
            <w:rPr>
              <w:bCs/>
              <w:sz w:val="16"/>
              <w:szCs w:val="16"/>
              <w:lang w:val="sr-Latn-RS"/>
            </w:rPr>
            <w:t>9</w:t>
          </w:r>
          <w:r w:rsidR="0059547A" w:rsidRPr="00E333DD">
            <w:rPr>
              <w:bCs/>
              <w:sz w:val="16"/>
              <w:szCs w:val="16"/>
              <w:lang w:val="sr-Latn-CS"/>
            </w:rPr>
            <w:t>1</w:t>
          </w:r>
          <w:r w:rsidR="00831689" w:rsidRPr="00E333DD">
            <w:rPr>
              <w:bCs/>
              <w:sz w:val="16"/>
              <w:szCs w:val="16"/>
              <w:lang w:val="sr-Cyrl-RS"/>
            </w:rPr>
            <w:t>7</w:t>
          </w:r>
        </w:p>
      </w:tc>
    </w:tr>
  </w:tbl>
  <w:p w:rsidR="002614A1" w:rsidRPr="001038C6" w:rsidRDefault="002614A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2614A1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2614A1" w:rsidRPr="0066614C" w:rsidRDefault="002614A1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2614A1" w:rsidRPr="0066614C" w:rsidRDefault="002614A1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C51995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2614A1" w:rsidRDefault="002614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80" w:rsidRDefault="00997A80">
      <w:r>
        <w:separator/>
      </w:r>
    </w:p>
  </w:footnote>
  <w:footnote w:type="continuationSeparator" w:id="0">
    <w:p w:rsidR="00997A80" w:rsidRDefault="0099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000C"/>
    <w:rsid w:val="000049E7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7284"/>
    <w:rsid w:val="00074ABB"/>
    <w:rsid w:val="0007640E"/>
    <w:rsid w:val="00077562"/>
    <w:rsid w:val="00084869"/>
    <w:rsid w:val="00090430"/>
    <w:rsid w:val="0009330F"/>
    <w:rsid w:val="000979E5"/>
    <w:rsid w:val="000A3E3C"/>
    <w:rsid w:val="000B0571"/>
    <w:rsid w:val="000C0D55"/>
    <w:rsid w:val="000C5620"/>
    <w:rsid w:val="000E36C9"/>
    <w:rsid w:val="000E5ECC"/>
    <w:rsid w:val="001034CA"/>
    <w:rsid w:val="001038C6"/>
    <w:rsid w:val="001057A8"/>
    <w:rsid w:val="001061CD"/>
    <w:rsid w:val="00110976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1067"/>
    <w:rsid w:val="00174E1D"/>
    <w:rsid w:val="00181004"/>
    <w:rsid w:val="001825E2"/>
    <w:rsid w:val="001A0510"/>
    <w:rsid w:val="001B51C3"/>
    <w:rsid w:val="001D536B"/>
    <w:rsid w:val="001D63BE"/>
    <w:rsid w:val="001D750D"/>
    <w:rsid w:val="001F0446"/>
    <w:rsid w:val="001F52B9"/>
    <w:rsid w:val="00213582"/>
    <w:rsid w:val="00215916"/>
    <w:rsid w:val="0022126E"/>
    <w:rsid w:val="0022259F"/>
    <w:rsid w:val="00225696"/>
    <w:rsid w:val="002338F2"/>
    <w:rsid w:val="00246DBC"/>
    <w:rsid w:val="002474DA"/>
    <w:rsid w:val="00251146"/>
    <w:rsid w:val="002577D1"/>
    <w:rsid w:val="00260FDC"/>
    <w:rsid w:val="002614A1"/>
    <w:rsid w:val="00265BBD"/>
    <w:rsid w:val="00266953"/>
    <w:rsid w:val="00272766"/>
    <w:rsid w:val="002815E4"/>
    <w:rsid w:val="00281896"/>
    <w:rsid w:val="002955BE"/>
    <w:rsid w:val="002A1943"/>
    <w:rsid w:val="002B2029"/>
    <w:rsid w:val="002B6B10"/>
    <w:rsid w:val="002B7667"/>
    <w:rsid w:val="002C044A"/>
    <w:rsid w:val="002D26C4"/>
    <w:rsid w:val="002D2D3A"/>
    <w:rsid w:val="002D4B5F"/>
    <w:rsid w:val="002E16C8"/>
    <w:rsid w:val="003052E8"/>
    <w:rsid w:val="003115F8"/>
    <w:rsid w:val="00313C70"/>
    <w:rsid w:val="00317944"/>
    <w:rsid w:val="00327438"/>
    <w:rsid w:val="003326BC"/>
    <w:rsid w:val="003424A9"/>
    <w:rsid w:val="0034563F"/>
    <w:rsid w:val="003472A6"/>
    <w:rsid w:val="00354099"/>
    <w:rsid w:val="003557FA"/>
    <w:rsid w:val="003611B2"/>
    <w:rsid w:val="00370593"/>
    <w:rsid w:val="003746D5"/>
    <w:rsid w:val="00375FF5"/>
    <w:rsid w:val="00395DBA"/>
    <w:rsid w:val="00396A64"/>
    <w:rsid w:val="003A0D12"/>
    <w:rsid w:val="003A1834"/>
    <w:rsid w:val="003A2F46"/>
    <w:rsid w:val="003C4653"/>
    <w:rsid w:val="003C77B4"/>
    <w:rsid w:val="003D2176"/>
    <w:rsid w:val="003D3E88"/>
    <w:rsid w:val="003E06F2"/>
    <w:rsid w:val="003E3C34"/>
    <w:rsid w:val="00403151"/>
    <w:rsid w:val="0041739D"/>
    <w:rsid w:val="004242B6"/>
    <w:rsid w:val="004304D4"/>
    <w:rsid w:val="00432F75"/>
    <w:rsid w:val="0044522A"/>
    <w:rsid w:val="00473814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D1A7E"/>
    <w:rsid w:val="004E266D"/>
    <w:rsid w:val="004E4D46"/>
    <w:rsid w:val="004E5ADD"/>
    <w:rsid w:val="004E5C37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7B5B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C10E4"/>
    <w:rsid w:val="005C4034"/>
    <w:rsid w:val="005D3EE5"/>
    <w:rsid w:val="005D5829"/>
    <w:rsid w:val="005E58F6"/>
    <w:rsid w:val="005F408E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7F85"/>
    <w:rsid w:val="006646F5"/>
    <w:rsid w:val="0066614C"/>
    <w:rsid w:val="00667FA3"/>
    <w:rsid w:val="0067119B"/>
    <w:rsid w:val="00677A51"/>
    <w:rsid w:val="00681B67"/>
    <w:rsid w:val="00686881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55B6"/>
    <w:rsid w:val="007124B3"/>
    <w:rsid w:val="00713674"/>
    <w:rsid w:val="00723EBB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75E7F"/>
    <w:rsid w:val="00780889"/>
    <w:rsid w:val="0078146A"/>
    <w:rsid w:val="0078342C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804F17"/>
    <w:rsid w:val="00815E6B"/>
    <w:rsid w:val="00817189"/>
    <w:rsid w:val="008174D7"/>
    <w:rsid w:val="008256E8"/>
    <w:rsid w:val="00826240"/>
    <w:rsid w:val="00831689"/>
    <w:rsid w:val="008328A9"/>
    <w:rsid w:val="00833792"/>
    <w:rsid w:val="00834A6F"/>
    <w:rsid w:val="00835207"/>
    <w:rsid w:val="00845A19"/>
    <w:rsid w:val="00852AD1"/>
    <w:rsid w:val="00860F32"/>
    <w:rsid w:val="0086116D"/>
    <w:rsid w:val="00865950"/>
    <w:rsid w:val="00867AC5"/>
    <w:rsid w:val="00871494"/>
    <w:rsid w:val="0087350C"/>
    <w:rsid w:val="00890660"/>
    <w:rsid w:val="00891379"/>
    <w:rsid w:val="008930AD"/>
    <w:rsid w:val="00895DE2"/>
    <w:rsid w:val="008A52F9"/>
    <w:rsid w:val="008B45A8"/>
    <w:rsid w:val="008B57D3"/>
    <w:rsid w:val="008C15B8"/>
    <w:rsid w:val="008C3B72"/>
    <w:rsid w:val="008C44B8"/>
    <w:rsid w:val="008C6C20"/>
    <w:rsid w:val="008D06F0"/>
    <w:rsid w:val="008D1F9A"/>
    <w:rsid w:val="008D3E4F"/>
    <w:rsid w:val="008D7D6F"/>
    <w:rsid w:val="008E0296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6CAF"/>
    <w:rsid w:val="009324E6"/>
    <w:rsid w:val="00933B4A"/>
    <w:rsid w:val="00935F76"/>
    <w:rsid w:val="00940DEA"/>
    <w:rsid w:val="00945F88"/>
    <w:rsid w:val="00953B72"/>
    <w:rsid w:val="0095447A"/>
    <w:rsid w:val="00954E7E"/>
    <w:rsid w:val="00973863"/>
    <w:rsid w:val="00985CFA"/>
    <w:rsid w:val="009966AF"/>
    <w:rsid w:val="00997A80"/>
    <w:rsid w:val="009A0F0C"/>
    <w:rsid w:val="009B7464"/>
    <w:rsid w:val="009D28E8"/>
    <w:rsid w:val="009D3274"/>
    <w:rsid w:val="009E4CF4"/>
    <w:rsid w:val="009E6FEF"/>
    <w:rsid w:val="009E7587"/>
    <w:rsid w:val="009F3D4F"/>
    <w:rsid w:val="009F698B"/>
    <w:rsid w:val="009F7472"/>
    <w:rsid w:val="00A007DE"/>
    <w:rsid w:val="00A01E07"/>
    <w:rsid w:val="00A075B5"/>
    <w:rsid w:val="00A20D67"/>
    <w:rsid w:val="00A2220F"/>
    <w:rsid w:val="00A2718C"/>
    <w:rsid w:val="00A35F6E"/>
    <w:rsid w:val="00A36ED8"/>
    <w:rsid w:val="00A467D9"/>
    <w:rsid w:val="00A4750E"/>
    <w:rsid w:val="00A55EFA"/>
    <w:rsid w:val="00A62452"/>
    <w:rsid w:val="00A65C70"/>
    <w:rsid w:val="00A7556A"/>
    <w:rsid w:val="00A7726D"/>
    <w:rsid w:val="00A83646"/>
    <w:rsid w:val="00A84F98"/>
    <w:rsid w:val="00A961B4"/>
    <w:rsid w:val="00AB35EB"/>
    <w:rsid w:val="00AB7618"/>
    <w:rsid w:val="00AC031A"/>
    <w:rsid w:val="00AC30D0"/>
    <w:rsid w:val="00AC43D9"/>
    <w:rsid w:val="00AE0766"/>
    <w:rsid w:val="00AF22AE"/>
    <w:rsid w:val="00B037C6"/>
    <w:rsid w:val="00B071A0"/>
    <w:rsid w:val="00B07862"/>
    <w:rsid w:val="00B157B0"/>
    <w:rsid w:val="00B240AF"/>
    <w:rsid w:val="00B46651"/>
    <w:rsid w:val="00B474D6"/>
    <w:rsid w:val="00B5471B"/>
    <w:rsid w:val="00B5536F"/>
    <w:rsid w:val="00B61E63"/>
    <w:rsid w:val="00B63C99"/>
    <w:rsid w:val="00B84F87"/>
    <w:rsid w:val="00B8740C"/>
    <w:rsid w:val="00B967F5"/>
    <w:rsid w:val="00BA2A4A"/>
    <w:rsid w:val="00BA45DF"/>
    <w:rsid w:val="00BA5A50"/>
    <w:rsid w:val="00BB2275"/>
    <w:rsid w:val="00BB3AC9"/>
    <w:rsid w:val="00BB4BB5"/>
    <w:rsid w:val="00BB5A9C"/>
    <w:rsid w:val="00BC5F23"/>
    <w:rsid w:val="00BC6DF4"/>
    <w:rsid w:val="00BD6084"/>
    <w:rsid w:val="00BE0489"/>
    <w:rsid w:val="00BE74AE"/>
    <w:rsid w:val="00BF4023"/>
    <w:rsid w:val="00C026C3"/>
    <w:rsid w:val="00C02C7F"/>
    <w:rsid w:val="00C06957"/>
    <w:rsid w:val="00C13D19"/>
    <w:rsid w:val="00C149A4"/>
    <w:rsid w:val="00C33DC8"/>
    <w:rsid w:val="00C37F67"/>
    <w:rsid w:val="00C40AB3"/>
    <w:rsid w:val="00C42ACC"/>
    <w:rsid w:val="00C51995"/>
    <w:rsid w:val="00C606A3"/>
    <w:rsid w:val="00C64CF4"/>
    <w:rsid w:val="00C66FC5"/>
    <w:rsid w:val="00C7647F"/>
    <w:rsid w:val="00C76C07"/>
    <w:rsid w:val="00C83DE7"/>
    <w:rsid w:val="00C85808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D40C9"/>
    <w:rsid w:val="00CD4A45"/>
    <w:rsid w:val="00CD6DB8"/>
    <w:rsid w:val="00CD7108"/>
    <w:rsid w:val="00CE2062"/>
    <w:rsid w:val="00CE36B1"/>
    <w:rsid w:val="00CF20F9"/>
    <w:rsid w:val="00CF74C4"/>
    <w:rsid w:val="00D02A56"/>
    <w:rsid w:val="00D04C4F"/>
    <w:rsid w:val="00D075D6"/>
    <w:rsid w:val="00D1003C"/>
    <w:rsid w:val="00D258ED"/>
    <w:rsid w:val="00D25F15"/>
    <w:rsid w:val="00D30DC4"/>
    <w:rsid w:val="00D34E30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602A"/>
    <w:rsid w:val="00D906FB"/>
    <w:rsid w:val="00D9176A"/>
    <w:rsid w:val="00D95F97"/>
    <w:rsid w:val="00DA14AE"/>
    <w:rsid w:val="00DB2D79"/>
    <w:rsid w:val="00DB44C0"/>
    <w:rsid w:val="00DC2DB9"/>
    <w:rsid w:val="00DD0E53"/>
    <w:rsid w:val="00DF34BB"/>
    <w:rsid w:val="00DF4432"/>
    <w:rsid w:val="00DF7ADB"/>
    <w:rsid w:val="00E00118"/>
    <w:rsid w:val="00E2080D"/>
    <w:rsid w:val="00E228EE"/>
    <w:rsid w:val="00E2517B"/>
    <w:rsid w:val="00E333DD"/>
    <w:rsid w:val="00E33B44"/>
    <w:rsid w:val="00E418F3"/>
    <w:rsid w:val="00E46029"/>
    <w:rsid w:val="00E610E9"/>
    <w:rsid w:val="00E635FE"/>
    <w:rsid w:val="00E70E1F"/>
    <w:rsid w:val="00E77BAA"/>
    <w:rsid w:val="00E943EE"/>
    <w:rsid w:val="00EA61AD"/>
    <w:rsid w:val="00EA7B3B"/>
    <w:rsid w:val="00EC223C"/>
    <w:rsid w:val="00EC2656"/>
    <w:rsid w:val="00EC4F79"/>
    <w:rsid w:val="00ED0509"/>
    <w:rsid w:val="00ED0D4C"/>
    <w:rsid w:val="00ED68B8"/>
    <w:rsid w:val="00ED75D2"/>
    <w:rsid w:val="00EE637C"/>
    <w:rsid w:val="00EF1B62"/>
    <w:rsid w:val="00EF2972"/>
    <w:rsid w:val="00EF3E24"/>
    <w:rsid w:val="00EF6639"/>
    <w:rsid w:val="00F053B7"/>
    <w:rsid w:val="00F06834"/>
    <w:rsid w:val="00F23D10"/>
    <w:rsid w:val="00F247DC"/>
    <w:rsid w:val="00F3100B"/>
    <w:rsid w:val="00F34249"/>
    <w:rsid w:val="00F50635"/>
    <w:rsid w:val="00F554F4"/>
    <w:rsid w:val="00F7132E"/>
    <w:rsid w:val="00F7596C"/>
    <w:rsid w:val="00F801A0"/>
    <w:rsid w:val="00F84E40"/>
    <w:rsid w:val="00F86959"/>
    <w:rsid w:val="00F94A82"/>
    <w:rsid w:val="00FA1FF0"/>
    <w:rsid w:val="00FA2245"/>
    <w:rsid w:val="00FB2A5B"/>
    <w:rsid w:val="00FB3196"/>
    <w:rsid w:val="00FC021A"/>
    <w:rsid w:val="00FC38AF"/>
    <w:rsid w:val="00FC3B34"/>
    <w:rsid w:val="00FC451C"/>
    <w:rsid w:val="00FC71B9"/>
    <w:rsid w:val="00FD66DA"/>
    <w:rsid w:val="00FE3465"/>
    <w:rsid w:val="00FE7AB9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F0C61A7-C856-4490-8A02-E3C4117D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rzs.stat.gov.rs/WebSite/Public/PageView.aspx?pKey=1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avica.jotan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5663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</cp:revision>
  <cp:lastPrinted>2017-05-31T09:52:00Z</cp:lastPrinted>
  <dcterms:created xsi:type="dcterms:W3CDTF">2017-08-31T09:26:00Z</dcterms:created>
  <dcterms:modified xsi:type="dcterms:W3CDTF">2017-08-31T09:26:00Z</dcterms:modified>
</cp:coreProperties>
</file>