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A456E1" w:rsidRPr="00273720" w:rsidTr="00806CAD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A456E1" w:rsidRPr="00273720" w:rsidRDefault="00A456E1" w:rsidP="00806CAD">
            <w:pPr>
              <w:rPr>
                <w:rFonts w:cs="Arial"/>
                <w:color w:val="808080"/>
                <w:szCs w:val="20"/>
              </w:rPr>
            </w:pPr>
            <w:r w:rsidRPr="00273720">
              <w:rPr>
                <w:color w:val="808080"/>
                <w:sz w:val="8"/>
                <w:szCs w:val="8"/>
              </w:rPr>
              <w:t xml:space="preserve">                    </w:t>
            </w:r>
            <w:r>
              <w:rPr>
                <w:noProof/>
                <w:color w:val="808080"/>
                <w:lang w:val="en-US"/>
              </w:rPr>
              <w:drawing>
                <wp:anchor distT="0" distB="0" distL="114300" distR="114300" simplePos="0" relativeHeight="251659776" behindDoc="0" locked="0" layoutInCell="1" allowOverlap="1" wp14:anchorId="15A02AB4" wp14:editId="3C92FB6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3" name="Picture 3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 wp14:anchorId="6DC296B8" wp14:editId="5D1D12EB">
                      <wp:extent cx="906145" cy="222885"/>
                      <wp:effectExtent l="0" t="0" r="0" b="0"/>
                      <wp:docPr id="2" name="Rectangl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614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6" style="width:71.3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A456E1" w:rsidRPr="00273720" w:rsidRDefault="00A456E1" w:rsidP="00806CAD">
            <w:pPr>
              <w:rPr>
                <w:rFonts w:cs="Arial"/>
                <w:szCs w:val="20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Type">
                <w:r w:rsidRPr="00273720">
                  <w:rPr>
                    <w:rFonts w:cs="Arial"/>
                    <w:szCs w:val="20"/>
                  </w:rPr>
                  <w:t>Republic</w:t>
                </w:r>
              </w:smartTag>
              <w:proofErr w:type="spellEnd"/>
              <w:r w:rsidRPr="00273720">
                <w:rPr>
                  <w:rFonts w:cs="Arial"/>
                  <w:szCs w:val="20"/>
                </w:rPr>
                <w:t xml:space="preserve"> </w:t>
              </w:r>
              <w:proofErr w:type="spellStart"/>
              <w:r w:rsidRPr="00273720">
                <w:rPr>
                  <w:rFonts w:cs="Arial"/>
                  <w:szCs w:val="20"/>
                </w:rPr>
                <w:t>of</w:t>
              </w:r>
              <w:proofErr w:type="spellEnd"/>
              <w:r w:rsidRPr="00273720">
                <w:rPr>
                  <w:rFonts w:cs="Arial"/>
                  <w:szCs w:val="20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273720">
                  <w:rPr>
                    <w:rFonts w:cs="Arial"/>
                    <w:szCs w:val="20"/>
                  </w:rPr>
                  <w:t>Serbia</w:t>
                </w:r>
              </w:smartTag>
            </w:smartTag>
            <w:proofErr w:type="spellEnd"/>
          </w:p>
          <w:p w:rsidR="00A456E1" w:rsidRPr="00273720" w:rsidRDefault="00A456E1" w:rsidP="00806CAD">
            <w:pPr>
              <w:rPr>
                <w:rFonts w:cs="Arial"/>
                <w:color w:val="808080"/>
                <w:szCs w:val="20"/>
              </w:rPr>
            </w:pPr>
            <w:proofErr w:type="spellStart"/>
            <w:r w:rsidRPr="00273720">
              <w:rPr>
                <w:rFonts w:cs="Arial"/>
                <w:szCs w:val="20"/>
              </w:rPr>
              <w:t>Statistical</w:t>
            </w:r>
            <w:proofErr w:type="spellEnd"/>
            <w:r w:rsidRPr="00273720">
              <w:rPr>
                <w:rFonts w:cs="Arial"/>
                <w:szCs w:val="20"/>
              </w:rPr>
              <w:t xml:space="preserve"> </w:t>
            </w:r>
            <w:proofErr w:type="spellStart"/>
            <w:r w:rsidRPr="00273720">
              <w:rPr>
                <w:rFonts w:cs="Arial"/>
                <w:szCs w:val="20"/>
              </w:rPr>
              <w:t>Office</w:t>
            </w:r>
            <w:proofErr w:type="spellEnd"/>
            <w:r w:rsidRPr="00273720">
              <w:rPr>
                <w:rFonts w:cs="Arial"/>
                <w:szCs w:val="20"/>
              </w:rPr>
              <w:t xml:space="preserve"> </w:t>
            </w:r>
            <w:proofErr w:type="spellStart"/>
            <w:r w:rsidRPr="00273720">
              <w:rPr>
                <w:rFonts w:cs="Arial"/>
                <w:szCs w:val="20"/>
              </w:rPr>
              <w:t>of</w:t>
            </w:r>
            <w:proofErr w:type="spellEnd"/>
            <w:r w:rsidRPr="00273720">
              <w:rPr>
                <w:rFonts w:cs="Arial"/>
                <w:szCs w:val="20"/>
              </w:rPr>
              <w:t xml:space="preserve"> the </w:t>
            </w:r>
            <w:proofErr w:type="spellStart"/>
            <w:smartTag w:uri="urn:schemas-microsoft-com:office:smarttags" w:element="place">
              <w:smartTag w:uri="urn:schemas-microsoft-com:office:smarttags" w:element="PlaceType">
                <w:r w:rsidRPr="00273720">
                  <w:rPr>
                    <w:rFonts w:cs="Arial"/>
                    <w:szCs w:val="20"/>
                  </w:rPr>
                  <w:t>Republic</w:t>
                </w:r>
              </w:smartTag>
              <w:proofErr w:type="spellEnd"/>
              <w:r w:rsidRPr="00273720">
                <w:rPr>
                  <w:rFonts w:cs="Arial"/>
                  <w:szCs w:val="20"/>
                </w:rPr>
                <w:t xml:space="preserve"> </w:t>
              </w:r>
              <w:proofErr w:type="spellStart"/>
              <w:r w:rsidRPr="00273720">
                <w:rPr>
                  <w:rFonts w:cs="Arial"/>
                  <w:szCs w:val="20"/>
                </w:rPr>
                <w:t>of</w:t>
              </w:r>
              <w:proofErr w:type="spellEnd"/>
              <w:r w:rsidRPr="00273720">
                <w:rPr>
                  <w:rFonts w:cs="Arial"/>
                  <w:szCs w:val="20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273720">
                  <w:rPr>
                    <w:rFonts w:cs="Arial"/>
                    <w:szCs w:val="20"/>
                  </w:rPr>
                  <w:t>Serbia</w:t>
                </w:r>
              </w:smartTag>
            </w:smartTag>
            <w:proofErr w:type="spellEnd"/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A456E1" w:rsidRPr="00273720" w:rsidRDefault="00A456E1" w:rsidP="00806CAD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273720">
              <w:rPr>
                <w:rFonts w:cs="Arial"/>
                <w:szCs w:val="20"/>
              </w:rPr>
              <w:t>ISSN 0353-9555</w:t>
            </w:r>
          </w:p>
        </w:tc>
      </w:tr>
      <w:tr w:rsidR="00A456E1" w:rsidRPr="00273720" w:rsidTr="00806CAD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456E1" w:rsidRPr="00273720" w:rsidRDefault="00A456E1" w:rsidP="00806CAD">
            <w:pPr>
              <w:rPr>
                <w:color w:val="808080"/>
                <w:szCs w:val="20"/>
              </w:rPr>
            </w:pPr>
            <w:r w:rsidRPr="00273720">
              <w:rPr>
                <w:rFonts w:cs="Arial"/>
                <w:b/>
                <w:color w:val="808080"/>
                <w:sz w:val="48"/>
                <w:szCs w:val="48"/>
              </w:rPr>
              <w:t>STATISTICAL RELEASE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456E1" w:rsidRPr="00A456E1" w:rsidRDefault="00A456E1" w:rsidP="00A456E1">
            <w:pPr>
              <w:jc w:val="right"/>
              <w:rPr>
                <w:b/>
                <w:color w:val="808080"/>
                <w:sz w:val="12"/>
                <w:lang w:val="en-US"/>
              </w:rPr>
            </w:pPr>
            <w:r w:rsidRPr="00273720">
              <w:rPr>
                <w:rFonts w:cs="Arial"/>
                <w:b/>
                <w:bCs/>
                <w:noProof/>
                <w:color w:val="808080"/>
                <w:sz w:val="48"/>
                <w:szCs w:val="48"/>
              </w:rPr>
              <w:t>АS</w:t>
            </w:r>
            <w:r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en-US"/>
              </w:rPr>
              <w:t>21</w:t>
            </w:r>
          </w:p>
        </w:tc>
      </w:tr>
      <w:tr w:rsidR="00A456E1" w:rsidRPr="00273720" w:rsidTr="00806CAD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6E1" w:rsidRPr="00273720" w:rsidRDefault="00A456E1" w:rsidP="00A456E1">
            <w:pPr>
              <w:rPr>
                <w:rFonts w:cs="Arial"/>
                <w:szCs w:val="20"/>
              </w:rPr>
            </w:pPr>
            <w:proofErr w:type="spellStart"/>
            <w:r w:rsidRPr="00273720">
              <w:rPr>
                <w:rFonts w:cs="Arial"/>
                <w:szCs w:val="20"/>
              </w:rPr>
              <w:t>Number</w:t>
            </w:r>
            <w:proofErr w:type="spellEnd"/>
            <w:r w:rsidRPr="00273720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  <w:lang w:val="en-US"/>
              </w:rPr>
              <w:t>177</w:t>
            </w:r>
            <w:r w:rsidRPr="00273720">
              <w:rPr>
                <w:rFonts w:cs="Arial"/>
                <w:szCs w:val="20"/>
              </w:rPr>
              <w:t xml:space="preserve"> - </w:t>
            </w:r>
            <w:proofErr w:type="spellStart"/>
            <w:r w:rsidRPr="00273720">
              <w:rPr>
                <w:rFonts w:cs="Arial"/>
                <w:szCs w:val="20"/>
              </w:rPr>
              <w:t>Year</w:t>
            </w:r>
            <w:proofErr w:type="spellEnd"/>
            <w:r w:rsidRPr="00273720">
              <w:rPr>
                <w:rFonts w:cs="Arial"/>
                <w:szCs w:val="20"/>
              </w:rPr>
              <w:t xml:space="preserve"> LXV</w:t>
            </w:r>
            <w:r>
              <w:rPr>
                <w:rFonts w:cs="Arial"/>
                <w:szCs w:val="20"/>
                <w:lang w:val="en-US"/>
              </w:rPr>
              <w:t>I</w:t>
            </w:r>
            <w:r>
              <w:rPr>
                <w:rFonts w:cs="Arial"/>
                <w:szCs w:val="20"/>
                <w:lang w:val="sr-Latn-RS"/>
              </w:rPr>
              <w:t>I</w:t>
            </w:r>
            <w:r w:rsidRPr="00273720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  <w:lang w:val="en-US"/>
              </w:rPr>
              <w:t>30</w:t>
            </w:r>
            <w:r w:rsidRPr="00273720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  <w:lang w:val="en-US"/>
              </w:rPr>
              <w:t>06</w:t>
            </w:r>
            <w:r w:rsidRPr="00273720">
              <w:rPr>
                <w:rFonts w:cs="Arial"/>
                <w:szCs w:val="20"/>
              </w:rPr>
              <w:t>.201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6E1" w:rsidRPr="00273720" w:rsidRDefault="00A456E1" w:rsidP="00806CAD">
            <w:pPr>
              <w:jc w:val="right"/>
              <w:rPr>
                <w:rFonts w:cs="Arial"/>
                <w:b/>
                <w:sz w:val="48"/>
                <w:szCs w:val="48"/>
              </w:rPr>
            </w:pPr>
          </w:p>
        </w:tc>
      </w:tr>
      <w:tr w:rsidR="00A456E1" w:rsidRPr="00273720" w:rsidTr="00806CAD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456E1" w:rsidRPr="00273720" w:rsidRDefault="00A456E1" w:rsidP="00806CAD">
            <w:pPr>
              <w:rPr>
                <w:b/>
                <w:bCs/>
                <w:sz w:val="24"/>
              </w:rPr>
            </w:pPr>
            <w:r w:rsidRPr="00273720">
              <w:rPr>
                <w:rFonts w:cs="Arial"/>
                <w:b/>
                <w:noProof/>
              </w:rPr>
              <w:t>Statistics of social activities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456E1" w:rsidRPr="00A456E1" w:rsidRDefault="00A456E1" w:rsidP="00A456E1">
            <w:pPr>
              <w:jc w:val="right"/>
              <w:rPr>
                <w:b/>
                <w:szCs w:val="20"/>
                <w:lang w:val="en-US"/>
              </w:rPr>
            </w:pPr>
            <w:r w:rsidRPr="00273720">
              <w:rPr>
                <w:rFonts w:cs="Arial"/>
                <w:szCs w:val="20"/>
              </w:rPr>
              <w:t>SERB</w:t>
            </w:r>
            <w:r>
              <w:rPr>
                <w:rFonts w:cs="Arial"/>
                <w:szCs w:val="20"/>
                <w:lang w:val="en-US"/>
              </w:rPr>
              <w:t>177</w:t>
            </w:r>
            <w:r w:rsidRPr="00273720">
              <w:rPr>
                <w:rFonts w:cs="Arial"/>
                <w:szCs w:val="20"/>
              </w:rPr>
              <w:t xml:space="preserve"> АS10 </w:t>
            </w:r>
            <w:r>
              <w:rPr>
                <w:rFonts w:cs="Arial"/>
                <w:szCs w:val="20"/>
                <w:lang w:val="en-US"/>
              </w:rPr>
              <w:t>300617</w:t>
            </w:r>
          </w:p>
        </w:tc>
      </w:tr>
    </w:tbl>
    <w:p w:rsidR="008C3B72" w:rsidRDefault="008C3B72" w:rsidP="006A7E8E">
      <w:pPr>
        <w:rPr>
          <w:lang w:val="sr-Latn-CS"/>
        </w:rPr>
      </w:pPr>
    </w:p>
    <w:p w:rsidR="00A456E1" w:rsidRDefault="00A456E1" w:rsidP="006A7E8E">
      <w:pPr>
        <w:rPr>
          <w:lang w:val="sr-Latn-CS"/>
        </w:rPr>
      </w:pPr>
    </w:p>
    <w:p w:rsidR="001C3045" w:rsidRDefault="001C3045" w:rsidP="006A7E8E">
      <w:pPr>
        <w:rPr>
          <w:lang w:val="sr-Latn-CS"/>
        </w:rPr>
      </w:pPr>
    </w:p>
    <w:p w:rsidR="001D61FD" w:rsidRDefault="001D61FD" w:rsidP="006A7E8E">
      <w:pPr>
        <w:rPr>
          <w:lang w:val="sr-Latn-CS"/>
        </w:rPr>
      </w:pPr>
    </w:p>
    <w:p w:rsidR="000D4B8D" w:rsidRPr="00433F1B" w:rsidRDefault="00644F4F" w:rsidP="000D4B8D">
      <w:pPr>
        <w:jc w:val="center"/>
        <w:rPr>
          <w:rFonts w:cs="Arial"/>
          <w:b/>
          <w:color w:val="000000" w:themeColor="text1"/>
          <w:sz w:val="24"/>
        </w:rPr>
      </w:pPr>
      <w:r>
        <w:rPr>
          <w:rFonts w:cs="Arial"/>
          <w:b/>
          <w:color w:val="000000" w:themeColor="text1"/>
          <w:sz w:val="24"/>
          <w:lang w:val="en-US"/>
        </w:rPr>
        <w:t xml:space="preserve">Graduated students, </w:t>
      </w:r>
      <w:r w:rsidR="000D4B8D">
        <w:rPr>
          <w:rFonts w:cs="Arial"/>
          <w:b/>
          <w:color w:val="000000" w:themeColor="text1"/>
          <w:sz w:val="24"/>
          <w:lang w:val="sr-Cyrl-CS"/>
        </w:rPr>
        <w:t>2016</w:t>
      </w:r>
      <w:r w:rsidR="000D4B8D">
        <w:rPr>
          <w:rFonts w:cs="Arial"/>
          <w:b/>
          <w:color w:val="000000" w:themeColor="text1"/>
          <w:sz w:val="24"/>
          <w:lang w:val="sr-Latn-RS"/>
        </w:rPr>
        <w:t xml:space="preserve"> </w:t>
      </w:r>
    </w:p>
    <w:p w:rsidR="000D4B8D" w:rsidRDefault="000D4B8D" w:rsidP="000D4B8D">
      <w:pPr>
        <w:pStyle w:val="Footer"/>
        <w:spacing w:before="60"/>
        <w:ind w:left="255" w:hanging="255"/>
        <w:jc w:val="center"/>
        <w:rPr>
          <w:lang w:val="sr-Latn-RS"/>
        </w:rPr>
      </w:pPr>
    </w:p>
    <w:p w:rsidR="000D4B8D" w:rsidRPr="000D4B8D" w:rsidRDefault="00644F4F" w:rsidP="000D4B8D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Data on graduated students are obtained from the regular an</w:t>
      </w:r>
      <w:r w:rsidR="00E40273">
        <w:rPr>
          <w:rFonts w:cs="Arial"/>
          <w:szCs w:val="20"/>
          <w:lang w:val="en-US"/>
        </w:rPr>
        <w:t>nual survey “Statistical report for students having completed studies at tertiary education institutions” (form SV-50). The survey is conducted via individual questionnaires in all tertiary education institutions.</w:t>
      </w:r>
    </w:p>
    <w:p w:rsidR="000D4B8D" w:rsidRPr="000D4B8D" w:rsidRDefault="000D4B8D" w:rsidP="000D4B8D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</w:rPr>
      </w:pPr>
      <w:r w:rsidRPr="000D4B8D">
        <w:rPr>
          <w:rFonts w:cs="Arial"/>
          <w:szCs w:val="20"/>
          <w:lang w:val="en-US"/>
        </w:rPr>
        <w:t xml:space="preserve"> </w:t>
      </w:r>
      <w:r w:rsidR="00E40273">
        <w:rPr>
          <w:rFonts w:cs="Arial"/>
          <w:szCs w:val="20"/>
          <w:lang w:val="en-US"/>
        </w:rPr>
        <w:t xml:space="preserve">The data refers to all graduated students at academic and applied studies at all three levels of study, and </w:t>
      </w:r>
      <w:r w:rsidR="00BA1BA5">
        <w:rPr>
          <w:rFonts w:cs="Arial"/>
          <w:szCs w:val="20"/>
          <w:lang w:val="en-US"/>
        </w:rPr>
        <w:t xml:space="preserve">under the </w:t>
      </w:r>
      <w:r w:rsidR="00E40273">
        <w:rPr>
          <w:rFonts w:cs="Arial"/>
          <w:szCs w:val="20"/>
          <w:lang w:val="en-US"/>
        </w:rPr>
        <w:t xml:space="preserve">old study </w:t>
      </w:r>
      <w:proofErr w:type="spellStart"/>
      <w:r w:rsidR="00E40273">
        <w:rPr>
          <w:rFonts w:cs="Arial"/>
          <w:szCs w:val="20"/>
          <w:lang w:val="en-US"/>
        </w:rPr>
        <w:t>programme</w:t>
      </w:r>
      <w:proofErr w:type="spellEnd"/>
      <w:r w:rsidR="00E40273">
        <w:rPr>
          <w:rFonts w:cs="Arial"/>
          <w:szCs w:val="20"/>
          <w:lang w:val="en-US"/>
        </w:rPr>
        <w:t xml:space="preserve">. </w:t>
      </w:r>
    </w:p>
    <w:p w:rsidR="000D4B8D" w:rsidRPr="000D4B8D" w:rsidRDefault="00BA1BA5" w:rsidP="000D4B8D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</w:rPr>
      </w:pPr>
      <w:r>
        <w:rPr>
          <w:rFonts w:cs="Arial"/>
          <w:szCs w:val="20"/>
          <w:lang w:val="en-US"/>
        </w:rPr>
        <w:t xml:space="preserve">Of the total number of graduated students in 2016, </w:t>
      </w:r>
      <w:r w:rsidR="000D4B8D" w:rsidRPr="000D4B8D">
        <w:rPr>
          <w:rFonts w:cs="Arial"/>
          <w:szCs w:val="20"/>
        </w:rPr>
        <w:t>41</w:t>
      </w:r>
      <w:r>
        <w:rPr>
          <w:rFonts w:cs="Arial"/>
          <w:szCs w:val="20"/>
          <w:lang w:val="en-US"/>
        </w:rPr>
        <w:t>.</w:t>
      </w:r>
      <w:r w:rsidR="000D4B8D" w:rsidRPr="000D4B8D">
        <w:rPr>
          <w:rFonts w:cs="Arial"/>
          <w:szCs w:val="20"/>
        </w:rPr>
        <w:t xml:space="preserve">6% </w:t>
      </w:r>
      <w:r>
        <w:rPr>
          <w:rFonts w:cs="Arial"/>
          <w:szCs w:val="20"/>
          <w:lang w:val="en-US"/>
        </w:rPr>
        <w:t>are men and</w:t>
      </w:r>
      <w:r w:rsidR="000D4B8D" w:rsidRPr="000D4B8D">
        <w:rPr>
          <w:rFonts w:cs="Arial"/>
          <w:szCs w:val="20"/>
        </w:rPr>
        <w:t xml:space="preserve"> 58</w:t>
      </w:r>
      <w:r>
        <w:rPr>
          <w:rFonts w:cs="Arial"/>
          <w:szCs w:val="20"/>
          <w:lang w:val="en-US"/>
        </w:rPr>
        <w:t>.</w:t>
      </w:r>
      <w:r w:rsidR="000D4B8D" w:rsidRPr="000D4B8D">
        <w:rPr>
          <w:rFonts w:cs="Arial"/>
          <w:szCs w:val="20"/>
        </w:rPr>
        <w:t>4%</w:t>
      </w:r>
      <w:r>
        <w:rPr>
          <w:rFonts w:cs="Arial"/>
          <w:szCs w:val="20"/>
          <w:lang w:val="en-US"/>
        </w:rPr>
        <w:t xml:space="preserve"> are women</w:t>
      </w:r>
      <w:r w:rsidR="000D4B8D" w:rsidRPr="000D4B8D">
        <w:rPr>
          <w:rFonts w:cs="Arial"/>
          <w:szCs w:val="20"/>
        </w:rPr>
        <w:t>.</w:t>
      </w:r>
    </w:p>
    <w:p w:rsidR="000D4B8D" w:rsidRPr="000D4B8D" w:rsidRDefault="00BA1BA5" w:rsidP="000D4B8D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79.9% of students graduated at State universities, 20.1% at private universities</w:t>
      </w:r>
      <w:r w:rsidR="00C30EBF">
        <w:rPr>
          <w:rFonts w:cs="Arial"/>
          <w:szCs w:val="20"/>
          <w:lang w:val="en-US"/>
        </w:rPr>
        <w:t>, while 92.6% graduated at State higher schools and 7.4% at private higher schools</w:t>
      </w:r>
      <w:r w:rsidR="000D4B8D" w:rsidRPr="000D4B8D">
        <w:rPr>
          <w:rFonts w:cs="Arial"/>
          <w:szCs w:val="20"/>
        </w:rPr>
        <w:t xml:space="preserve">. </w:t>
      </w:r>
    </w:p>
    <w:p w:rsidR="000D4B8D" w:rsidRPr="000D4B8D" w:rsidRDefault="00C30EBF" w:rsidP="000D4B8D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</w:rPr>
      </w:pPr>
      <w:r>
        <w:rPr>
          <w:rFonts w:cs="Arial"/>
          <w:szCs w:val="20"/>
          <w:lang w:val="en-US"/>
        </w:rPr>
        <w:t>In addition to this statistical releases data on graduated stude</w:t>
      </w:r>
      <w:r w:rsidR="00E909B7">
        <w:rPr>
          <w:rFonts w:cs="Arial"/>
          <w:szCs w:val="20"/>
          <w:lang w:val="en-US"/>
        </w:rPr>
        <w:t>nt</w:t>
      </w:r>
      <w:r>
        <w:rPr>
          <w:rFonts w:cs="Arial"/>
          <w:szCs w:val="20"/>
          <w:lang w:val="en-US"/>
        </w:rPr>
        <w:t>s are also available in the “Statistical Yearbook of the Republic of Serbia”, publication “Municipalities and Regions</w:t>
      </w:r>
      <w:r w:rsidR="009D1BB9">
        <w:rPr>
          <w:rFonts w:cs="Arial"/>
          <w:szCs w:val="20"/>
          <w:lang w:val="en-US"/>
        </w:rPr>
        <w:t xml:space="preserve"> in the Republic of Serbia”, “Statistical Pocket-book of the Republic of Serbia”</w:t>
      </w:r>
      <w:r w:rsidR="009D1BB9" w:rsidRPr="000D4B8D">
        <w:rPr>
          <w:rFonts w:cs="Arial"/>
          <w:szCs w:val="20"/>
          <w:lang w:val="en-US"/>
        </w:rPr>
        <w:t xml:space="preserve"> </w:t>
      </w:r>
      <w:r w:rsidR="009D1BB9">
        <w:rPr>
          <w:rFonts w:cs="Arial"/>
          <w:szCs w:val="20"/>
          <w:lang w:val="en-US"/>
        </w:rPr>
        <w:t xml:space="preserve">as well as in </w:t>
      </w:r>
      <w:r w:rsidR="0069777B">
        <w:rPr>
          <w:rFonts w:cs="Arial"/>
          <w:szCs w:val="20"/>
          <w:lang w:val="en-US"/>
        </w:rPr>
        <w:t xml:space="preserve">occasional publications published by </w:t>
      </w:r>
      <w:r w:rsidR="00590A0C">
        <w:rPr>
          <w:rFonts w:cs="Arial"/>
          <w:szCs w:val="20"/>
          <w:lang w:val="en-US"/>
        </w:rPr>
        <w:t>the Statistical Office of the Republic of Serbia</w:t>
      </w:r>
      <w:r w:rsidR="000D4B8D" w:rsidRPr="000D4B8D">
        <w:rPr>
          <w:rFonts w:cs="Arial"/>
          <w:szCs w:val="20"/>
          <w:lang w:val="en-US"/>
        </w:rPr>
        <w:t>.</w:t>
      </w:r>
      <w:r w:rsidR="000D4B8D" w:rsidRPr="000D4B8D">
        <w:rPr>
          <w:rFonts w:cs="Arial"/>
          <w:szCs w:val="20"/>
        </w:rPr>
        <w:t xml:space="preserve"> </w:t>
      </w:r>
    </w:p>
    <w:p w:rsidR="000D4B8D" w:rsidRPr="000D4B8D" w:rsidRDefault="00590A0C" w:rsidP="000D4B8D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</w:rPr>
      </w:pPr>
      <w:r>
        <w:rPr>
          <w:rFonts w:cs="Arial"/>
          <w:szCs w:val="20"/>
          <w:lang w:val="en-US"/>
        </w:rPr>
        <w:t>Detailed data on graduated students are published in a special publication “Tertiary Education” with the data on enrolled students and teaching staff in tertiary education institutions</w:t>
      </w:r>
      <w:r w:rsidR="000D4B8D" w:rsidRPr="000D4B8D">
        <w:rPr>
          <w:rFonts w:cs="Arial"/>
          <w:szCs w:val="20"/>
        </w:rPr>
        <w:t>.</w:t>
      </w:r>
    </w:p>
    <w:p w:rsidR="000D4B8D" w:rsidRDefault="000D4B8D" w:rsidP="000D4B8D">
      <w:pPr>
        <w:pStyle w:val="Footer"/>
        <w:spacing w:before="60" w:after="60"/>
        <w:ind w:left="255" w:hanging="255"/>
        <w:rPr>
          <w:b/>
          <w:lang w:val="en-US"/>
        </w:rPr>
      </w:pPr>
    </w:p>
    <w:p w:rsidR="001C3045" w:rsidRDefault="001C3045" w:rsidP="000D4B8D">
      <w:pPr>
        <w:pStyle w:val="Footer"/>
        <w:spacing w:before="60" w:after="60"/>
        <w:ind w:left="255" w:hanging="255"/>
        <w:rPr>
          <w:b/>
          <w:lang w:val="en-US"/>
        </w:rPr>
      </w:pPr>
    </w:p>
    <w:p w:rsidR="000D4B8D" w:rsidRPr="00D86F28" w:rsidRDefault="00590A0C" w:rsidP="000D4B8D">
      <w:pPr>
        <w:pStyle w:val="Footer"/>
        <w:spacing w:before="60" w:after="60"/>
        <w:ind w:left="255" w:hanging="255"/>
        <w:rPr>
          <w:b/>
        </w:rPr>
      </w:pPr>
      <w:r>
        <w:rPr>
          <w:b/>
          <w:lang w:val="en-US"/>
        </w:rPr>
        <w:t>Graduated students by universities and way of financing</w:t>
      </w:r>
      <w:r w:rsidR="004100CA" w:rsidRPr="000F3806">
        <w:rPr>
          <w:b/>
          <w:vertAlign w:val="superscript"/>
          <w:lang w:val="sr-Latn-RS"/>
        </w:rPr>
        <w:t>1)</w:t>
      </w:r>
      <w:bookmarkStart w:id="0" w:name="_GoBack"/>
      <w:bookmarkEnd w:id="0"/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D4B8D" w:rsidRPr="00D86F28" w:rsidTr="000D4B8D">
        <w:trPr>
          <w:trHeight w:val="2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8D" w:rsidRPr="00D86F28" w:rsidRDefault="00590A0C" w:rsidP="00644F4F">
            <w:pPr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Universities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8D" w:rsidRPr="00D86F28" w:rsidRDefault="00590A0C" w:rsidP="00644F4F">
            <w:pPr>
              <w:jc w:val="center"/>
              <w:rPr>
                <w:rFonts w:cs="Arial"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  <w:lang w:val="en-US"/>
              </w:rPr>
              <w:t>Students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590A0C" w:rsidP="00644F4F">
            <w:pPr>
              <w:spacing w:before="80" w:after="80"/>
              <w:jc w:val="center"/>
              <w:rPr>
                <w:rFonts w:cs="Arial"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  <w:lang w:val="en-US"/>
              </w:rPr>
              <w:t>Way of financing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8D" w:rsidRPr="00D86F28" w:rsidRDefault="000D4B8D" w:rsidP="00644F4F">
            <w:pPr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8D" w:rsidRPr="00D86F28" w:rsidRDefault="000D4B8D" w:rsidP="00644F4F">
            <w:pPr>
              <w:rPr>
                <w:rFonts w:cs="Arial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8D" w:rsidRPr="00D86F28" w:rsidRDefault="00590A0C" w:rsidP="00A456E1">
            <w:pPr>
              <w:spacing w:before="60" w:after="60"/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Budget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8D" w:rsidRPr="00D86F28" w:rsidRDefault="00590A0C" w:rsidP="00A456E1">
            <w:pPr>
              <w:spacing w:before="60" w:after="60"/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Self-financing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D4B8D" w:rsidRPr="00D86F28" w:rsidRDefault="00E909B7" w:rsidP="00A456E1">
            <w:pPr>
              <w:spacing w:before="60" w:after="60"/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Budget and self-financing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8D" w:rsidRPr="00D86F28" w:rsidRDefault="000D4B8D" w:rsidP="00644F4F">
            <w:pPr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8D" w:rsidRPr="00D86F28" w:rsidRDefault="00590A0C" w:rsidP="00644F4F">
            <w:pPr>
              <w:spacing w:before="40" w:after="40"/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All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8D" w:rsidRPr="00D86F28" w:rsidRDefault="00590A0C" w:rsidP="00644F4F">
            <w:pPr>
              <w:spacing w:before="40" w:after="40"/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Men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8D" w:rsidRPr="00D86F28" w:rsidRDefault="00590A0C" w:rsidP="00644F4F">
            <w:pPr>
              <w:spacing w:before="40" w:after="40"/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Women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8D" w:rsidRPr="00D86F28" w:rsidRDefault="00590A0C" w:rsidP="00644F4F">
            <w:pPr>
              <w:spacing w:before="40" w:after="40"/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All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8D" w:rsidRPr="00D86F28" w:rsidRDefault="00590A0C" w:rsidP="00644F4F">
            <w:pPr>
              <w:spacing w:before="40" w:after="40"/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Men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8D" w:rsidRPr="00D86F28" w:rsidRDefault="00590A0C" w:rsidP="00644F4F">
            <w:pPr>
              <w:spacing w:before="40" w:after="40"/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Women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8D" w:rsidRPr="00D86F28" w:rsidRDefault="00590A0C" w:rsidP="00644F4F">
            <w:pPr>
              <w:spacing w:before="40" w:after="40"/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All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8D" w:rsidRPr="00D86F28" w:rsidRDefault="00590A0C" w:rsidP="00644F4F">
            <w:pPr>
              <w:spacing w:before="40" w:after="40"/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Men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8D" w:rsidRPr="00D86F28" w:rsidRDefault="00590A0C" w:rsidP="00644F4F">
            <w:pPr>
              <w:spacing w:before="40" w:after="40"/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Women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8D" w:rsidRPr="00D86F28" w:rsidRDefault="00590A0C" w:rsidP="00644F4F">
            <w:pPr>
              <w:spacing w:before="40" w:after="40"/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All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8D" w:rsidRPr="00D86F28" w:rsidRDefault="00590A0C" w:rsidP="00644F4F">
            <w:pPr>
              <w:spacing w:before="40" w:after="40"/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Men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8D" w:rsidRPr="00D86F28" w:rsidRDefault="00590A0C" w:rsidP="00644F4F">
            <w:pPr>
              <w:spacing w:before="40" w:after="40"/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Women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B8D" w:rsidRPr="00D86F28" w:rsidRDefault="000D4B8D" w:rsidP="00644F4F">
            <w:pPr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D4B8D" w:rsidRPr="00D86F28" w:rsidRDefault="000D4B8D" w:rsidP="00644F4F">
            <w:pPr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D4B8D" w:rsidRPr="00D86F28" w:rsidRDefault="000D4B8D" w:rsidP="00644F4F">
            <w:pPr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D4B8D" w:rsidRPr="00D86F28" w:rsidRDefault="000D4B8D" w:rsidP="00644F4F">
            <w:pPr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D4B8D" w:rsidRPr="00D86F28" w:rsidRDefault="000D4B8D" w:rsidP="00644F4F">
            <w:pPr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D4B8D" w:rsidRPr="00D86F28" w:rsidRDefault="000D4B8D" w:rsidP="00644F4F">
            <w:pPr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D4B8D" w:rsidRPr="00D86F28" w:rsidRDefault="000D4B8D" w:rsidP="00644F4F">
            <w:pPr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D4B8D" w:rsidRPr="00D86F28" w:rsidRDefault="000D4B8D" w:rsidP="00644F4F">
            <w:pPr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D4B8D" w:rsidRPr="00D86F28" w:rsidRDefault="000D4B8D" w:rsidP="00644F4F">
            <w:pPr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D4B8D" w:rsidRPr="00D86F28" w:rsidRDefault="000D4B8D" w:rsidP="00644F4F">
            <w:pPr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D4B8D" w:rsidRPr="00D86F28" w:rsidRDefault="000D4B8D" w:rsidP="00644F4F">
            <w:pPr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D4B8D" w:rsidRPr="00D86F28" w:rsidRDefault="000D4B8D" w:rsidP="00644F4F">
            <w:pPr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D4B8D" w:rsidRPr="00D86F28" w:rsidRDefault="000D4B8D" w:rsidP="00644F4F">
            <w:pPr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E909B7" w:rsidP="00644F4F">
            <w:pPr>
              <w:rPr>
                <w:rFonts w:cs="Arial"/>
                <w:b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  <w:lang w:val="en-US"/>
              </w:rPr>
              <w:t>REPUBLIC OF SERBIA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b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b/>
                <w:color w:val="000000"/>
                <w:sz w:val="14"/>
                <w:szCs w:val="14"/>
                <w:lang w:val="en-US"/>
              </w:rPr>
              <w:t>51544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b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b/>
                <w:color w:val="000000"/>
                <w:sz w:val="14"/>
                <w:szCs w:val="14"/>
                <w:lang w:val="en-US"/>
              </w:rPr>
              <w:t>21428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b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b/>
                <w:color w:val="000000"/>
                <w:sz w:val="14"/>
                <w:szCs w:val="14"/>
                <w:lang w:val="en-US"/>
              </w:rPr>
              <w:t>30116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b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b/>
                <w:color w:val="000000"/>
                <w:sz w:val="14"/>
                <w:szCs w:val="14"/>
                <w:lang w:val="en-US"/>
              </w:rPr>
              <w:t>18430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b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b/>
                <w:color w:val="000000"/>
                <w:sz w:val="14"/>
                <w:szCs w:val="14"/>
                <w:lang w:val="en-US"/>
              </w:rPr>
              <w:t>7232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b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b/>
                <w:color w:val="000000"/>
                <w:sz w:val="14"/>
                <w:szCs w:val="14"/>
                <w:lang w:val="en-US"/>
              </w:rPr>
              <w:t>11198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b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b/>
                <w:color w:val="000000"/>
                <w:sz w:val="14"/>
                <w:szCs w:val="14"/>
                <w:lang w:val="en-US"/>
              </w:rPr>
              <w:t>26116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b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b/>
                <w:color w:val="000000"/>
                <w:sz w:val="14"/>
                <w:szCs w:val="14"/>
                <w:lang w:val="en-US"/>
              </w:rPr>
              <w:t>11425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b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b/>
                <w:color w:val="000000"/>
                <w:sz w:val="14"/>
                <w:szCs w:val="14"/>
                <w:lang w:val="en-US"/>
              </w:rPr>
              <w:t>14691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b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b/>
                <w:color w:val="000000"/>
                <w:sz w:val="14"/>
                <w:szCs w:val="14"/>
                <w:lang w:val="en-US"/>
              </w:rPr>
              <w:t>6998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b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b/>
                <w:color w:val="000000"/>
                <w:sz w:val="14"/>
                <w:szCs w:val="14"/>
                <w:lang w:val="en-US"/>
              </w:rPr>
              <w:t>2771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b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b/>
                <w:color w:val="000000"/>
                <w:sz w:val="14"/>
                <w:szCs w:val="14"/>
                <w:lang w:val="en-US"/>
              </w:rPr>
              <w:t>4227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E909B7" w:rsidP="00644F4F">
            <w:pPr>
              <w:spacing w:before="120"/>
              <w:ind w:left="170"/>
              <w:rPr>
                <w:rFonts w:cs="Arial"/>
                <w:b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  <w:lang w:val="en-US"/>
              </w:rPr>
              <w:t>State universities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31439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12252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19187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15095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5837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9258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10382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4027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6355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5962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2388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3574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E909B7" w:rsidP="00E909B7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Academy of criminalistics and police studies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182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68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16</w:t>
            </w:r>
          </w:p>
        </w:tc>
      </w:tr>
      <w:tr w:rsidR="000D4B8D" w:rsidRPr="00D86F28" w:rsidTr="00E909B7">
        <w:trPr>
          <w:trHeight w:val="57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843F8C" w:rsidP="00644F4F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 xml:space="preserve">University of national </w:t>
            </w:r>
            <w:proofErr w:type="spellStart"/>
            <w:r>
              <w:rPr>
                <w:rFonts w:cs="Arial"/>
                <w:color w:val="000000"/>
                <w:sz w:val="14"/>
                <w:szCs w:val="14"/>
                <w:lang w:val="en-US"/>
              </w:rPr>
              <w:t>defenc</w:t>
            </w:r>
            <w:r w:rsidR="00E909B7">
              <w:rPr>
                <w:rFonts w:cs="Arial"/>
                <w:color w:val="000000"/>
                <w:sz w:val="14"/>
                <w:szCs w:val="14"/>
                <w:lang w:val="en-US"/>
              </w:rPr>
              <w:t>e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182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E909B7" w:rsidP="00644F4F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University of Belgrade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14716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5565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9151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6369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2399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5115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1943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3172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3232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1223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2009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E909B7" w:rsidP="00644F4F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 xml:space="preserve">University of </w:t>
            </w:r>
            <w:proofErr w:type="spellStart"/>
            <w:r>
              <w:rPr>
                <w:rFonts w:cs="Arial"/>
                <w:color w:val="000000"/>
                <w:sz w:val="14"/>
                <w:szCs w:val="14"/>
                <w:lang w:val="en-US"/>
              </w:rPr>
              <w:t>Kragujevac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2841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1922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1383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365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298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194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E909B7" w:rsidRDefault="00E909B7" w:rsidP="00644F4F">
            <w:pPr>
              <w:ind w:left="284"/>
              <w:rPr>
                <w:rFonts w:cs="Arial"/>
                <w:color w:val="000000"/>
                <w:sz w:val="14"/>
                <w:szCs w:val="14"/>
                <w:lang w:val="sr-Latn-R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 xml:space="preserve">University in </w:t>
            </w:r>
            <w:r>
              <w:rPr>
                <w:rFonts w:cs="Arial"/>
                <w:color w:val="000000"/>
                <w:sz w:val="14"/>
                <w:szCs w:val="14"/>
                <w:lang w:val="sr-Latn-RS"/>
              </w:rPr>
              <w:t>Niš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4137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1647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2156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898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1258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1278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444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E909B7" w:rsidP="00E909B7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 xml:space="preserve">University of Novi </w:t>
            </w:r>
            <w:proofErr w:type="spellStart"/>
            <w:r>
              <w:rPr>
                <w:rFonts w:cs="Arial"/>
                <w:color w:val="000000"/>
                <w:sz w:val="14"/>
                <w:szCs w:val="14"/>
                <w:lang w:val="en-US"/>
              </w:rPr>
              <w:t>Pazar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186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62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98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E909B7" w:rsidP="00E909B7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University of Novi Sad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8297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3435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4862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4422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1725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2697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2308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988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1567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845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E909B7" w:rsidP="00644F4F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University of arts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676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261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64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E909B7" w:rsidP="00644F4F">
            <w:pPr>
              <w:spacing w:before="120"/>
              <w:ind w:left="170"/>
              <w:rPr>
                <w:rFonts w:cs="Arial"/>
                <w:b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  <w:lang w:val="en-US"/>
              </w:rPr>
              <w:t>Private universities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7871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3788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4083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7871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3788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4083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0D4B8D" w:rsidP="00EB7050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proofErr w:type="spellStart"/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А</w:t>
            </w:r>
            <w:r w:rsidR="00E909B7">
              <w:rPr>
                <w:rFonts w:cs="Arial"/>
                <w:color w:val="000000"/>
                <w:sz w:val="14"/>
                <w:szCs w:val="14"/>
                <w:lang w:val="en-US"/>
              </w:rPr>
              <w:t>lfa</w:t>
            </w:r>
            <w:proofErr w:type="spellEnd"/>
            <w:r w:rsidR="00E909B7">
              <w:rPr>
                <w:rFonts w:cs="Arial"/>
                <w:color w:val="000000"/>
                <w:sz w:val="14"/>
                <w:szCs w:val="14"/>
                <w:lang w:val="en-US"/>
              </w:rPr>
              <w:t xml:space="preserve"> universit</w:t>
            </w:r>
            <w:r w:rsidR="00EB7050">
              <w:rPr>
                <w:rFonts w:cs="Arial"/>
                <w:color w:val="000000"/>
                <w:sz w:val="14"/>
                <w:szCs w:val="14"/>
                <w:lang w:val="en-US"/>
              </w:rPr>
              <w:t>y</w:t>
            </w:r>
            <w:r w:rsidR="00E909B7">
              <w:rPr>
                <w:rFonts w:cs="Arial"/>
                <w:color w:val="000000"/>
                <w:sz w:val="14"/>
                <w:szCs w:val="14"/>
                <w:lang w:val="en-US"/>
              </w:rPr>
              <w:t xml:space="preserve"> (“</w:t>
            </w:r>
            <w:proofErr w:type="spellStart"/>
            <w:r w:rsidR="00E909B7">
              <w:rPr>
                <w:rFonts w:cs="Arial"/>
                <w:color w:val="000000"/>
                <w:sz w:val="14"/>
                <w:szCs w:val="14"/>
                <w:lang w:val="en-US"/>
              </w:rPr>
              <w:t>Braća</w:t>
            </w:r>
            <w:proofErr w:type="spellEnd"/>
            <w:r w:rsidR="00E909B7">
              <w:rPr>
                <w:rFonts w:cs="Arial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E909B7">
              <w:rPr>
                <w:rFonts w:cs="Arial"/>
                <w:color w:val="000000"/>
                <w:sz w:val="14"/>
                <w:szCs w:val="14"/>
                <w:lang w:val="en-US"/>
              </w:rPr>
              <w:t>Karić</w:t>
            </w:r>
            <w:proofErr w:type="spellEnd"/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")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385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385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E909B7" w:rsidP="00644F4F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European university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E909B7" w:rsidP="00E909B7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Metropolitan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E909B7" w:rsidP="00644F4F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University</w:t>
            </w:r>
            <w:r w:rsidR="000D4B8D"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0D4B8D"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Educons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E909B7" w:rsidP="00E909B7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University Business academy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E909B7" w:rsidP="00E909B7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 xml:space="preserve">University </w:t>
            </w:r>
            <w:proofErr w:type="spellStart"/>
            <w:r>
              <w:rPr>
                <w:rFonts w:cs="Arial"/>
                <w:color w:val="000000"/>
                <w:sz w:val="14"/>
                <w:szCs w:val="14"/>
                <w:lang w:val="en-US"/>
              </w:rPr>
              <w:t>Singidunum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737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887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737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887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E909B7" w:rsidP="00E909B7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University</w:t>
            </w:r>
            <w:r w:rsidR="000D4B8D"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 xml:space="preserve"> </w:t>
            </w: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Union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E909B7" w:rsidP="00EB7050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Universit</w:t>
            </w:r>
            <w:r w:rsidR="00EB7050">
              <w:rPr>
                <w:rFonts w:cs="Arial"/>
                <w:color w:val="000000"/>
                <w:sz w:val="14"/>
                <w:szCs w:val="14"/>
                <w:lang w:val="en-US"/>
              </w:rPr>
              <w:t>y</w:t>
            </w:r>
            <w:r>
              <w:rPr>
                <w:rFonts w:cs="Arial"/>
                <w:color w:val="000000"/>
                <w:sz w:val="14"/>
                <w:szCs w:val="14"/>
                <w:lang w:val="en-US"/>
              </w:rPr>
              <w:t xml:space="preserve"> Union Nikola Tesla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1367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1367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EB7050" w:rsidP="00EB7050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 xml:space="preserve">Faculties not being incorporated in the John </w:t>
            </w:r>
            <w:proofErr w:type="spellStart"/>
            <w:r>
              <w:rPr>
                <w:rFonts w:cs="Arial"/>
                <w:color w:val="000000"/>
                <w:sz w:val="14"/>
                <w:szCs w:val="14"/>
                <w:lang w:val="en-US"/>
              </w:rPr>
              <w:t>Naisbitt</w:t>
            </w:r>
            <w:proofErr w:type="spellEnd"/>
            <w:r>
              <w:rPr>
                <w:rFonts w:cs="Arial"/>
                <w:color w:val="000000"/>
                <w:sz w:val="14"/>
                <w:szCs w:val="14"/>
                <w:lang w:val="en-US"/>
              </w:rPr>
              <w:t xml:space="preserve"> University (Megatrend)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548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263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285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548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263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285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1715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679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1036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1715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679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1036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EB7050" w:rsidP="00EB7050">
            <w:pPr>
              <w:spacing w:before="120"/>
              <w:ind w:left="170"/>
              <w:rPr>
                <w:rFonts w:cs="Arial"/>
                <w:b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  <w:lang w:val="en-US"/>
              </w:rPr>
              <w:t>State higher schools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11330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4973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6357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3335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1395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6959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3195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3764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1036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653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EB7050" w:rsidP="00644F4F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State higher schools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11330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4973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6357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3335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1395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6959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3195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3764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1036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653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EB7050" w:rsidP="00644F4F">
            <w:pPr>
              <w:spacing w:before="120"/>
              <w:ind w:left="170"/>
              <w:rPr>
                <w:rFonts w:cs="Arial"/>
                <w:b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  <w:lang w:val="en-US"/>
              </w:rPr>
              <w:t>Private higher schools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489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489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EB7050" w:rsidP="00644F4F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Private higher schools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489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489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</w:tbl>
    <w:p w:rsidR="000F3806" w:rsidRDefault="000F3806" w:rsidP="000F3806">
      <w:pPr>
        <w:rPr>
          <w:lang w:val="sr-Latn-R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C21D021" wp14:editId="683A8569">
                <wp:simplePos x="0" y="0"/>
                <wp:positionH relativeFrom="character">
                  <wp:posOffset>0</wp:posOffset>
                </wp:positionH>
                <wp:positionV relativeFrom="line">
                  <wp:posOffset>86896</wp:posOffset>
                </wp:positionV>
                <wp:extent cx="720000" cy="0"/>
                <wp:effectExtent l="0" t="0" r="234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char;mso-position-vertical:absolute;mso-position-vertical-relative:line;mso-width-percent:0;mso-width-relative:margin" from="0,6.85pt" to="56.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" strokecolor="black [3213]" strokeweight=".25pt">
                <w10:wrap anchory="line"/>
              </v:line>
            </w:pict>
          </mc:Fallback>
        </mc:AlternateContent>
      </w:r>
    </w:p>
    <w:p w:rsidR="000F3806" w:rsidRPr="004852BD" w:rsidRDefault="000F3806" w:rsidP="000F3806">
      <w:pPr>
        <w:rPr>
          <w:sz w:val="14"/>
          <w:szCs w:val="14"/>
        </w:rPr>
      </w:pPr>
      <w:r w:rsidRPr="004852BD">
        <w:rPr>
          <w:sz w:val="14"/>
          <w:szCs w:val="14"/>
          <w:vertAlign w:val="superscript"/>
          <w:lang w:val="sr-Latn-RS"/>
        </w:rPr>
        <w:t>1)</w:t>
      </w:r>
      <w:r>
        <w:rPr>
          <w:sz w:val="14"/>
          <w:szCs w:val="14"/>
          <w:lang w:val="sr-Latn-RS"/>
        </w:rPr>
        <w:t xml:space="preserve"> </w:t>
      </w:r>
      <w:proofErr w:type="spellStart"/>
      <w:r>
        <w:rPr>
          <w:sz w:val="14"/>
          <w:szCs w:val="14"/>
          <w:lang w:val="sr-Latn-RS"/>
        </w:rPr>
        <w:t>Previous</w:t>
      </w:r>
      <w:proofErr w:type="spellEnd"/>
      <w:r>
        <w:rPr>
          <w:sz w:val="14"/>
          <w:szCs w:val="14"/>
          <w:lang w:val="sr-Latn-RS"/>
        </w:rPr>
        <w:t xml:space="preserve"> data</w:t>
      </w:r>
      <w:r>
        <w:rPr>
          <w:sz w:val="14"/>
          <w:szCs w:val="14"/>
        </w:rPr>
        <w:t>.</w:t>
      </w:r>
      <w:r w:rsidRPr="004852BD">
        <w:rPr>
          <w:sz w:val="14"/>
          <w:szCs w:val="14"/>
          <w:lang w:val="sr-Latn-RS"/>
        </w:rPr>
        <w:t xml:space="preserve"> </w:t>
      </w:r>
    </w:p>
    <w:p w:rsidR="000D4B8D" w:rsidRDefault="000D4B8D"/>
    <w:p w:rsidR="000D4B8D" w:rsidRPr="000D4B8D" w:rsidRDefault="00EB7050" w:rsidP="000D4B8D">
      <w:pPr>
        <w:pStyle w:val="Footer"/>
        <w:spacing w:before="60" w:after="60"/>
        <w:ind w:left="255" w:hanging="255"/>
      </w:pPr>
      <w:proofErr w:type="spellStart"/>
      <w:r>
        <w:rPr>
          <w:b/>
          <w:lang w:val="sr-Latn-RS"/>
        </w:rPr>
        <w:lastRenderedPageBreak/>
        <w:t>Graduated</w:t>
      </w:r>
      <w:proofErr w:type="spellEnd"/>
      <w:r>
        <w:rPr>
          <w:b/>
          <w:lang w:val="sr-Latn-RS"/>
        </w:rPr>
        <w:t xml:space="preserve"> </w:t>
      </w:r>
      <w:proofErr w:type="spellStart"/>
      <w:r>
        <w:rPr>
          <w:b/>
          <w:lang w:val="sr-Latn-RS"/>
        </w:rPr>
        <w:t>students</w:t>
      </w:r>
      <w:proofErr w:type="spellEnd"/>
      <w:r>
        <w:rPr>
          <w:b/>
          <w:lang w:val="sr-Latn-RS"/>
        </w:rPr>
        <w:t xml:space="preserve"> </w:t>
      </w:r>
      <w:proofErr w:type="spellStart"/>
      <w:r>
        <w:rPr>
          <w:b/>
          <w:lang w:val="sr-Latn-RS"/>
        </w:rPr>
        <w:t>by</w:t>
      </w:r>
      <w:proofErr w:type="spellEnd"/>
      <w:r>
        <w:rPr>
          <w:b/>
          <w:lang w:val="sr-Latn-RS"/>
        </w:rPr>
        <w:t xml:space="preserve"> </w:t>
      </w:r>
      <w:proofErr w:type="spellStart"/>
      <w:r w:rsidR="000E23B5">
        <w:rPr>
          <w:b/>
          <w:lang w:val="sr-Latn-RS"/>
        </w:rPr>
        <w:t>universities</w:t>
      </w:r>
      <w:proofErr w:type="spellEnd"/>
      <w:r w:rsidR="000E23B5">
        <w:rPr>
          <w:b/>
          <w:lang w:val="sr-Latn-RS"/>
        </w:rPr>
        <w:t xml:space="preserve"> </w:t>
      </w:r>
      <w:proofErr w:type="spellStart"/>
      <w:r w:rsidR="000E23B5">
        <w:rPr>
          <w:b/>
          <w:lang w:val="sr-Latn-RS"/>
        </w:rPr>
        <w:t>and</w:t>
      </w:r>
      <w:proofErr w:type="spellEnd"/>
      <w:r w:rsidR="000E23B5">
        <w:rPr>
          <w:b/>
          <w:lang w:val="sr-Latn-RS"/>
        </w:rPr>
        <w:t xml:space="preserve"> </w:t>
      </w:r>
      <w:proofErr w:type="spellStart"/>
      <w:r w:rsidR="000E23B5">
        <w:rPr>
          <w:b/>
          <w:lang w:val="sr-Latn-RS"/>
        </w:rPr>
        <w:t>way</w:t>
      </w:r>
      <w:proofErr w:type="spellEnd"/>
      <w:r w:rsidR="000E23B5">
        <w:rPr>
          <w:b/>
          <w:lang w:val="sr-Latn-RS"/>
        </w:rPr>
        <w:t xml:space="preserve"> </w:t>
      </w:r>
      <w:proofErr w:type="spellStart"/>
      <w:r w:rsidR="000E23B5">
        <w:rPr>
          <w:b/>
          <w:lang w:val="sr-Latn-RS"/>
        </w:rPr>
        <w:t>of</w:t>
      </w:r>
      <w:proofErr w:type="spellEnd"/>
      <w:r w:rsidR="000E23B5">
        <w:rPr>
          <w:b/>
          <w:lang w:val="sr-Latn-RS"/>
        </w:rPr>
        <w:t xml:space="preserve"> financing</w:t>
      </w:r>
      <w:r w:rsidR="000F3806" w:rsidRPr="000F3806">
        <w:rPr>
          <w:b/>
          <w:vertAlign w:val="superscript"/>
          <w:lang w:val="sr-Latn-RS"/>
        </w:rPr>
        <w:t>1)</w:t>
      </w:r>
      <w:r w:rsidR="000D4B8D">
        <w:rPr>
          <w:b/>
          <w:lang w:val="en-US"/>
        </w:rPr>
        <w:t xml:space="preserve"> </w:t>
      </w:r>
      <w:r w:rsidR="000D4B8D">
        <w:t>(</w:t>
      </w:r>
      <w:proofErr w:type="spellStart"/>
      <w:r w:rsidR="000E23B5">
        <w:rPr>
          <w:lang w:val="sr-Latn-RS"/>
        </w:rPr>
        <w:t>continued</w:t>
      </w:r>
      <w:proofErr w:type="spellEnd"/>
      <w:r w:rsidR="000D4B8D">
        <w:t>)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D4B8D" w:rsidRPr="00D86F28" w:rsidTr="000D4B8D">
        <w:trPr>
          <w:trHeight w:val="2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8D" w:rsidRPr="00D86F28" w:rsidRDefault="000E23B5" w:rsidP="00644F4F">
            <w:pPr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Universities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8D" w:rsidRPr="00D86F28" w:rsidRDefault="000E23B5" w:rsidP="00644F4F">
            <w:pPr>
              <w:jc w:val="center"/>
              <w:rPr>
                <w:rFonts w:cs="Arial"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  <w:lang w:val="en-US"/>
              </w:rPr>
              <w:t>Students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0E23B5" w:rsidP="00644F4F">
            <w:pPr>
              <w:spacing w:before="80" w:after="80"/>
              <w:jc w:val="center"/>
              <w:rPr>
                <w:rFonts w:cs="Arial"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  <w:lang w:val="en-US"/>
              </w:rPr>
              <w:t>Way of financing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8D" w:rsidRPr="00D86F28" w:rsidRDefault="000D4B8D" w:rsidP="00644F4F">
            <w:pPr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8D" w:rsidRPr="00D86F28" w:rsidRDefault="000D4B8D" w:rsidP="00644F4F">
            <w:pPr>
              <w:rPr>
                <w:rFonts w:cs="Arial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8D" w:rsidRPr="00D86F28" w:rsidRDefault="000E23B5" w:rsidP="00A456E1">
            <w:pPr>
              <w:spacing w:before="60" w:after="60"/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Budget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8D" w:rsidRPr="00D86F28" w:rsidRDefault="000E23B5" w:rsidP="00A456E1">
            <w:pPr>
              <w:spacing w:before="60" w:after="60"/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Self-financing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D4B8D" w:rsidRPr="00D86F28" w:rsidRDefault="000E23B5" w:rsidP="00A456E1">
            <w:pPr>
              <w:spacing w:before="60" w:after="60"/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Budget and self-financing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8D" w:rsidRPr="00D86F28" w:rsidRDefault="000D4B8D" w:rsidP="00644F4F">
            <w:pPr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8D" w:rsidRPr="00D86F28" w:rsidRDefault="000E23B5" w:rsidP="00644F4F">
            <w:pPr>
              <w:spacing w:before="40" w:after="40"/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All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8D" w:rsidRPr="00D86F28" w:rsidRDefault="000E23B5" w:rsidP="00644F4F">
            <w:pPr>
              <w:spacing w:before="40" w:after="40"/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Men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8D" w:rsidRPr="00D86F28" w:rsidRDefault="000E23B5" w:rsidP="00644F4F">
            <w:pPr>
              <w:spacing w:before="40" w:after="40"/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Women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8D" w:rsidRPr="00D86F28" w:rsidRDefault="000E23B5" w:rsidP="00644F4F">
            <w:pPr>
              <w:spacing w:before="40" w:after="40"/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All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8D" w:rsidRPr="00D86F28" w:rsidRDefault="000E23B5" w:rsidP="00644F4F">
            <w:pPr>
              <w:spacing w:before="40" w:after="40"/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Men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8D" w:rsidRPr="00D86F28" w:rsidRDefault="000E23B5" w:rsidP="00644F4F">
            <w:pPr>
              <w:spacing w:before="40" w:after="40"/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Women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8D" w:rsidRPr="00D86F28" w:rsidRDefault="000E23B5" w:rsidP="00644F4F">
            <w:pPr>
              <w:spacing w:before="40" w:after="40"/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All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8D" w:rsidRPr="00D86F28" w:rsidRDefault="000E23B5" w:rsidP="00644F4F">
            <w:pPr>
              <w:spacing w:before="40" w:after="40"/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Men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8D" w:rsidRPr="00D86F28" w:rsidRDefault="000E23B5" w:rsidP="00644F4F">
            <w:pPr>
              <w:spacing w:before="40" w:after="40"/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Women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8D" w:rsidRPr="00D86F28" w:rsidRDefault="00843F8C" w:rsidP="00644F4F">
            <w:pPr>
              <w:spacing w:before="40" w:after="40"/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All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8D" w:rsidRPr="00D86F28" w:rsidRDefault="00843F8C" w:rsidP="00644F4F">
            <w:pPr>
              <w:spacing w:before="40" w:after="40"/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Men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8D" w:rsidRPr="00D86F28" w:rsidRDefault="00843F8C" w:rsidP="00644F4F">
            <w:pPr>
              <w:spacing w:before="40" w:after="40"/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Women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B8D" w:rsidRPr="00D86F28" w:rsidRDefault="000D4B8D" w:rsidP="00644F4F">
            <w:pPr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D4B8D" w:rsidRPr="00D86F28" w:rsidRDefault="000D4B8D" w:rsidP="00644F4F">
            <w:pPr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D4B8D" w:rsidRPr="00D86F28" w:rsidRDefault="000D4B8D" w:rsidP="00644F4F">
            <w:pPr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D4B8D" w:rsidRPr="00D86F28" w:rsidRDefault="000D4B8D" w:rsidP="00644F4F">
            <w:pPr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D4B8D" w:rsidRPr="00D86F28" w:rsidRDefault="000D4B8D" w:rsidP="00644F4F">
            <w:pPr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D4B8D" w:rsidRPr="00D86F28" w:rsidRDefault="000D4B8D" w:rsidP="00644F4F">
            <w:pPr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D4B8D" w:rsidRPr="00D86F28" w:rsidRDefault="000D4B8D" w:rsidP="00644F4F">
            <w:pPr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D4B8D" w:rsidRPr="00D86F28" w:rsidRDefault="000D4B8D" w:rsidP="00644F4F">
            <w:pPr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D4B8D" w:rsidRPr="00D86F28" w:rsidRDefault="000D4B8D" w:rsidP="00644F4F">
            <w:pPr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D4B8D" w:rsidRPr="00D86F28" w:rsidRDefault="000D4B8D" w:rsidP="00644F4F">
            <w:pPr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D4B8D" w:rsidRPr="00D86F28" w:rsidRDefault="000D4B8D" w:rsidP="00644F4F">
            <w:pPr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D4B8D" w:rsidRPr="00D86F28" w:rsidRDefault="000D4B8D" w:rsidP="00644F4F">
            <w:pPr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D4B8D" w:rsidRPr="00D86F28" w:rsidRDefault="000D4B8D" w:rsidP="00644F4F">
            <w:pPr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843F8C" w:rsidP="00843F8C">
            <w:pPr>
              <w:ind w:left="57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SERBIA</w:t>
            </w:r>
            <w:r w:rsidR="000D4B8D"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 xml:space="preserve"> – </w:t>
            </w: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SEVER</w:t>
            </w:r>
            <w:r w:rsidR="000D4B8D"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0D4B8D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39309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0D4B8D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16526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0D4B8D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22783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0D4B8D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13178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0D4B8D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5179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0D4B8D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7999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0D4B8D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20515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0D4B8D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9095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0D4B8D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11420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0D4B8D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5616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0D4B8D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0D4B8D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3364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B8D" w:rsidRPr="00D86F28" w:rsidRDefault="000D4B8D" w:rsidP="000D4B8D">
            <w:pPr>
              <w:ind w:left="57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D4B8D" w:rsidRPr="00D86F28" w:rsidRDefault="000D4B8D" w:rsidP="000D4B8D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D4B8D" w:rsidRPr="00D86F28" w:rsidRDefault="000D4B8D" w:rsidP="000D4B8D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D4B8D" w:rsidRPr="00D86F28" w:rsidRDefault="000D4B8D" w:rsidP="000D4B8D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D4B8D" w:rsidRPr="00D86F28" w:rsidRDefault="000D4B8D" w:rsidP="000D4B8D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D4B8D" w:rsidRPr="00D86F28" w:rsidRDefault="000D4B8D" w:rsidP="000D4B8D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D4B8D" w:rsidRPr="00D86F28" w:rsidRDefault="000D4B8D" w:rsidP="000D4B8D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D4B8D" w:rsidRPr="00D86F28" w:rsidRDefault="000D4B8D" w:rsidP="000D4B8D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D4B8D" w:rsidRPr="00D86F28" w:rsidRDefault="000D4B8D" w:rsidP="000D4B8D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D4B8D" w:rsidRPr="00D86F28" w:rsidRDefault="000D4B8D" w:rsidP="000D4B8D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D4B8D" w:rsidRPr="00D86F28" w:rsidRDefault="000D4B8D" w:rsidP="000D4B8D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D4B8D" w:rsidRPr="00D86F28" w:rsidRDefault="000D4B8D" w:rsidP="000D4B8D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D4B8D" w:rsidRPr="00D86F28" w:rsidRDefault="000D4B8D" w:rsidP="000D4B8D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843F8C" w:rsidP="00843F8C">
            <w:pPr>
              <w:spacing w:before="120"/>
              <w:rPr>
                <w:rFonts w:cs="Arial"/>
                <w:b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  <w:lang w:val="en-US"/>
              </w:rPr>
              <w:t>State universities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23997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9503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14494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11342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4408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6934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7762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3108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4654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4893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1987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2906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843F8C" w:rsidP="00843F8C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Academy of criminalistics and police studies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182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68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16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843F8C" w:rsidP="00843F8C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University of national d</w:t>
            </w:r>
            <w:r w:rsidR="00D16FAE">
              <w:rPr>
                <w:rFonts w:cs="Arial"/>
                <w:color w:val="000000"/>
                <w:sz w:val="14"/>
                <w:szCs w:val="14"/>
                <w:lang w:val="en-US"/>
              </w:rPr>
              <w:t>efens</w:t>
            </w: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182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843F8C" w:rsidP="00644F4F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University of Belgrade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14545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5489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9056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6315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2380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5066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3142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3164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1185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1979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843F8C" w:rsidP="00644F4F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University of Novi Sad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8297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3435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4862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4422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1725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2697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2308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988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1567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845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843F8C" w:rsidP="00644F4F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University of arts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676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261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64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843F8C" w:rsidP="00644F4F">
            <w:pPr>
              <w:spacing w:before="120"/>
              <w:ind w:left="170"/>
              <w:rPr>
                <w:rFonts w:cs="Arial"/>
                <w:b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  <w:lang w:val="en-US"/>
              </w:rPr>
              <w:t>Private universities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7405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3515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7405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3515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0D4B8D" w:rsidP="00D16FAE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proofErr w:type="spellStart"/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А</w:t>
            </w:r>
            <w:r w:rsidR="00843F8C">
              <w:rPr>
                <w:rFonts w:cs="Arial"/>
                <w:color w:val="000000"/>
                <w:sz w:val="14"/>
                <w:szCs w:val="14"/>
                <w:lang w:val="en-US"/>
              </w:rPr>
              <w:t>lfa</w:t>
            </w:r>
            <w:proofErr w:type="spellEnd"/>
            <w:r w:rsidR="00843F8C">
              <w:rPr>
                <w:rFonts w:cs="Arial"/>
                <w:color w:val="000000"/>
                <w:sz w:val="14"/>
                <w:szCs w:val="14"/>
                <w:lang w:val="en-US"/>
              </w:rPr>
              <w:t xml:space="preserve"> university</w:t>
            </w: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 xml:space="preserve"> ("</w:t>
            </w:r>
            <w:proofErr w:type="spellStart"/>
            <w:r w:rsidR="00843F8C">
              <w:rPr>
                <w:rFonts w:cs="Arial"/>
                <w:color w:val="000000"/>
                <w:sz w:val="14"/>
                <w:szCs w:val="14"/>
                <w:lang w:val="en-US"/>
              </w:rPr>
              <w:t>Braća</w:t>
            </w:r>
            <w:proofErr w:type="spellEnd"/>
            <w:r w:rsidR="00843F8C">
              <w:rPr>
                <w:rFonts w:cs="Arial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843F8C">
              <w:rPr>
                <w:rFonts w:cs="Arial"/>
                <w:color w:val="000000"/>
                <w:sz w:val="14"/>
                <w:szCs w:val="14"/>
                <w:lang w:val="en-US"/>
              </w:rPr>
              <w:t>Karić</w:t>
            </w:r>
            <w:proofErr w:type="spellEnd"/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")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385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385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0D4B8D" w:rsidP="00843F8C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proofErr w:type="spellStart"/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Е</w:t>
            </w:r>
            <w:r w:rsidR="00843F8C">
              <w:rPr>
                <w:rFonts w:cs="Arial"/>
                <w:color w:val="000000"/>
                <w:sz w:val="14"/>
                <w:szCs w:val="14"/>
                <w:lang w:val="en-US"/>
              </w:rPr>
              <w:t>uropean</w:t>
            </w:r>
            <w:proofErr w:type="spellEnd"/>
            <w:r w:rsidR="00843F8C">
              <w:rPr>
                <w:rFonts w:cs="Arial"/>
                <w:color w:val="000000"/>
                <w:sz w:val="14"/>
                <w:szCs w:val="14"/>
                <w:lang w:val="en-US"/>
              </w:rPr>
              <w:t xml:space="preserve"> university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0D4B8D" w:rsidP="00843F8C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proofErr w:type="spellStart"/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Ме</w:t>
            </w:r>
            <w:r w:rsidR="00843F8C">
              <w:rPr>
                <w:rFonts w:cs="Arial"/>
                <w:color w:val="000000"/>
                <w:sz w:val="14"/>
                <w:szCs w:val="14"/>
                <w:lang w:val="en-US"/>
              </w:rPr>
              <w:t>tropolitan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843F8C" w:rsidP="00843F8C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 xml:space="preserve">University </w:t>
            </w:r>
            <w:proofErr w:type="spellStart"/>
            <w:r w:rsidR="000D4B8D"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Educons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843F8C" w:rsidP="00843F8C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University Business academy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843F8C" w:rsidP="00843F8C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 xml:space="preserve">University </w:t>
            </w:r>
            <w:proofErr w:type="spellStart"/>
            <w:r>
              <w:rPr>
                <w:rFonts w:cs="Arial"/>
                <w:color w:val="000000"/>
                <w:sz w:val="14"/>
                <w:szCs w:val="14"/>
                <w:lang w:val="en-US"/>
              </w:rPr>
              <w:t>Singidunum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1542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698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844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1542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698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844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843F8C" w:rsidP="00843F8C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University Union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843F8C" w:rsidP="00843F8C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University Union Nikola Tesla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618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618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843F8C" w:rsidP="00843F8C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 xml:space="preserve">Faculty not being incorporated in John </w:t>
            </w:r>
            <w:proofErr w:type="spellStart"/>
            <w:r>
              <w:rPr>
                <w:rFonts w:cs="Arial"/>
                <w:color w:val="000000"/>
                <w:sz w:val="14"/>
                <w:szCs w:val="14"/>
                <w:lang w:val="en-US"/>
              </w:rPr>
              <w:t>Naisbitt</w:t>
            </w:r>
            <w:proofErr w:type="spellEnd"/>
            <w:r>
              <w:rPr>
                <w:rFonts w:cs="Arial"/>
                <w:color w:val="000000"/>
                <w:sz w:val="14"/>
                <w:szCs w:val="14"/>
                <w:lang w:val="en-US"/>
              </w:rPr>
              <w:t xml:space="preserve"> University (Megatrend)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548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263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285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548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263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285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1579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1579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843F8C" w:rsidP="00644F4F">
            <w:pPr>
              <w:spacing w:before="120"/>
              <w:ind w:left="170"/>
              <w:rPr>
                <w:rFonts w:cs="Arial"/>
                <w:b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  <w:lang w:val="en-US"/>
              </w:rPr>
              <w:t>State higher schools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1836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1065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2134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2477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265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458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843F8C" w:rsidP="00644F4F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State higher schools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1836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1065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2134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2477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265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458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843F8C" w:rsidP="00644F4F">
            <w:pPr>
              <w:spacing w:before="120"/>
              <w:ind w:left="170"/>
              <w:rPr>
                <w:rFonts w:cs="Arial"/>
                <w:b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  <w:lang w:val="en-US"/>
              </w:rPr>
              <w:t>Private higher schools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737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338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737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338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843F8C" w:rsidP="00644F4F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Private higher schools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737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338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737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338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0D4B8D" w:rsidP="00843F8C">
            <w:pPr>
              <w:spacing w:before="240"/>
              <w:ind w:left="57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 xml:space="preserve"> </w:t>
            </w:r>
            <w:r w:rsidR="00843F8C">
              <w:rPr>
                <w:rFonts w:cs="Arial"/>
                <w:color w:val="000000"/>
                <w:sz w:val="14"/>
                <w:szCs w:val="14"/>
                <w:lang w:val="en-US"/>
              </w:rPr>
              <w:t>SERBIA</w:t>
            </w: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 xml:space="preserve"> – </w:t>
            </w:r>
            <w:r w:rsidR="00843F8C">
              <w:rPr>
                <w:rFonts w:cs="Arial"/>
                <w:color w:val="000000"/>
                <w:sz w:val="14"/>
                <w:szCs w:val="14"/>
                <w:lang w:val="en-US"/>
              </w:rPr>
              <w:t>JUG</w:t>
            </w: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24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12235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24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24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7333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24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5252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24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24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3199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24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5601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24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24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3271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24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1382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24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519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24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863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843F8C" w:rsidP="00843F8C">
            <w:pPr>
              <w:spacing w:before="120"/>
              <w:ind w:left="170"/>
              <w:rPr>
                <w:rFonts w:cs="Arial"/>
                <w:b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  <w:lang w:val="en-US"/>
              </w:rPr>
              <w:t>State universities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7442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2749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4693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3753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1429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2324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1069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668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843F8C" w:rsidP="00843F8C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University of Belgrade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68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30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843F8C" w:rsidP="00843F8C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 xml:space="preserve">University of </w:t>
            </w:r>
            <w:proofErr w:type="spellStart"/>
            <w:r>
              <w:rPr>
                <w:rFonts w:cs="Arial"/>
                <w:color w:val="000000"/>
                <w:sz w:val="14"/>
                <w:szCs w:val="14"/>
                <w:lang w:val="en-US"/>
              </w:rPr>
              <w:t>Kragujevac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2841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1922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1383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365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298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194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843F8C" w:rsidP="00843F8C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 xml:space="preserve">University of </w:t>
            </w:r>
            <w:proofErr w:type="spellStart"/>
            <w:r>
              <w:rPr>
                <w:rFonts w:cs="Arial"/>
                <w:color w:val="000000"/>
                <w:sz w:val="14"/>
                <w:szCs w:val="14"/>
                <w:lang w:val="en-US"/>
              </w:rPr>
              <w:t>Niš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4137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1647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2156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898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1258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1278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444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843F8C" w:rsidP="00843F8C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 xml:space="preserve">University of Novi </w:t>
            </w:r>
            <w:proofErr w:type="spellStart"/>
            <w:r>
              <w:rPr>
                <w:rFonts w:cs="Arial"/>
                <w:color w:val="000000"/>
                <w:sz w:val="14"/>
                <w:szCs w:val="14"/>
                <w:lang w:val="en-US"/>
              </w:rPr>
              <w:t>Pazar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186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62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98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843F8C" w:rsidP="00843F8C">
            <w:pPr>
              <w:spacing w:before="120"/>
              <w:ind w:left="170"/>
              <w:rPr>
                <w:rFonts w:cs="Arial"/>
                <w:b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  <w:lang w:val="en-US"/>
              </w:rPr>
              <w:t>Private universities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843F8C" w:rsidP="00843F8C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 xml:space="preserve">Universities </w:t>
            </w:r>
            <w:proofErr w:type="spellStart"/>
            <w:r>
              <w:rPr>
                <w:rFonts w:cs="Arial"/>
                <w:color w:val="000000"/>
                <w:sz w:val="14"/>
                <w:szCs w:val="14"/>
                <w:lang w:val="en-US"/>
              </w:rPr>
              <w:t>Singidunum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82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82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08570D" w:rsidP="0008570D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Universities Union Nikola Tesla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69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69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08570D" w:rsidP="0008570D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 xml:space="preserve">John </w:t>
            </w:r>
            <w:proofErr w:type="spellStart"/>
            <w:r>
              <w:rPr>
                <w:rFonts w:cs="Arial"/>
                <w:color w:val="000000"/>
                <w:sz w:val="14"/>
                <w:szCs w:val="14"/>
                <w:lang w:val="en-US"/>
              </w:rPr>
              <w:t>Naisbitt</w:t>
            </w:r>
            <w:proofErr w:type="spellEnd"/>
            <w:r w:rsidR="000D4B8D"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 xml:space="preserve"> (</w:t>
            </w:r>
            <w:proofErr w:type="spellStart"/>
            <w:r w:rsidR="000D4B8D"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Ме</w:t>
            </w: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gatrend</w:t>
            </w:r>
            <w:proofErr w:type="spellEnd"/>
            <w:r w:rsidR="000D4B8D"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08570D" w:rsidP="0008570D">
            <w:pPr>
              <w:spacing w:before="120"/>
              <w:ind w:left="170"/>
              <w:rPr>
                <w:rFonts w:cs="Arial"/>
                <w:b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  <w:lang w:val="en-US"/>
              </w:rPr>
              <w:t>State higher schools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1803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2357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1499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875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2348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1061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1287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195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08570D" w:rsidP="00D16FAE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State higher schools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1803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2357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1499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875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2348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1061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1287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195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08570D" w:rsidP="0008570D">
            <w:pPr>
              <w:spacing w:before="120"/>
              <w:ind w:left="170"/>
              <w:rPr>
                <w:rFonts w:cs="Arial"/>
                <w:b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  <w:lang w:val="en-US"/>
              </w:rPr>
              <w:t>Private higher schools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08570D" w:rsidP="00644F4F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Private higher schools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644F4F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</w:tbl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379"/>
      </w:tblGrid>
      <w:tr w:rsidR="000D4B8D" w:rsidRPr="00EA3C2F" w:rsidTr="00644F4F">
        <w:tc>
          <w:tcPr>
            <w:tcW w:w="9379" w:type="dxa"/>
            <w:shd w:val="clear" w:color="auto" w:fill="auto"/>
          </w:tcPr>
          <w:p w:rsidR="000D4B8D" w:rsidRPr="00BD68C0" w:rsidRDefault="0008570D" w:rsidP="00644F4F">
            <w:pPr>
              <w:spacing w:before="120"/>
              <w:jc w:val="center"/>
              <w:rPr>
                <w:iCs/>
                <w:sz w:val="18"/>
                <w:szCs w:val="18"/>
                <w:lang w:val="sr-Latn-RS"/>
              </w:rPr>
            </w:pPr>
            <w:r>
              <w:rPr>
                <w:rFonts w:cs="Arial"/>
                <w:iCs/>
                <w:sz w:val="18"/>
                <w:szCs w:val="18"/>
                <w:lang w:val="sr-Latn-RS"/>
              </w:rPr>
              <w:t>Contact</w:t>
            </w:r>
            <w:r w:rsidR="000D4B8D" w:rsidRPr="00BD68C0">
              <w:rPr>
                <w:rFonts w:cs="Arial"/>
                <w:iCs/>
                <w:sz w:val="18"/>
                <w:szCs w:val="18"/>
                <w:lang w:val="sr-Cyrl-CS"/>
              </w:rPr>
              <w:t xml:space="preserve">: 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 </w:t>
            </w:r>
            <w:r w:rsidR="000D4B8D" w:rsidRPr="00BD68C0">
              <w:rPr>
                <w:rFonts w:cs="Arial"/>
                <w:iCs/>
                <w:color w:val="0000FF"/>
                <w:sz w:val="18"/>
                <w:szCs w:val="18"/>
              </w:rPr>
              <w:t>v</w:t>
            </w:r>
            <w:r w:rsidR="000D4B8D" w:rsidRPr="00BD68C0">
              <w:rPr>
                <w:rFonts w:cs="Arial"/>
                <w:iCs/>
                <w:color w:val="0000FF"/>
                <w:sz w:val="18"/>
                <w:szCs w:val="18"/>
                <w:lang w:val="sr-Cyrl-CS"/>
              </w:rPr>
              <w:t>esna</w:t>
            </w:r>
            <w:r w:rsidR="000D4B8D" w:rsidRPr="00BD68C0">
              <w:rPr>
                <w:rFonts w:cs="Arial"/>
                <w:iCs/>
                <w:color w:val="0000FF"/>
                <w:sz w:val="18"/>
                <w:szCs w:val="18"/>
                <w:lang w:val="ru-RU"/>
              </w:rPr>
              <w:t>.</w:t>
            </w:r>
            <w:r w:rsidR="000D4B8D" w:rsidRPr="00BD68C0">
              <w:rPr>
                <w:rFonts w:cs="Arial"/>
                <w:iCs/>
                <w:color w:val="0000FF"/>
                <w:sz w:val="18"/>
                <w:szCs w:val="18"/>
                <w:lang w:val="sr-Latn-CS"/>
              </w:rPr>
              <w:t>jasovic_surlan@stat.gov.rs</w:t>
            </w:r>
            <w:r w:rsidR="000D4B8D">
              <w:rPr>
                <w:rFonts w:cs="Arial"/>
                <w:iCs/>
                <w:sz w:val="18"/>
                <w:szCs w:val="18"/>
                <w:lang w:val="sr-Cyrl-CS"/>
              </w:rPr>
              <w:t>,</w:t>
            </w:r>
            <w:r w:rsidR="000D4B8D" w:rsidRPr="00BD68C0">
              <w:rPr>
                <w:rFonts w:cs="Arial"/>
                <w:iCs/>
                <w:sz w:val="18"/>
                <w:szCs w:val="18"/>
                <w:lang w:val="sr-Latn-CS"/>
              </w:rPr>
              <w:t xml:space="preserve"> </w:t>
            </w:r>
            <w:r>
              <w:rPr>
                <w:iCs/>
                <w:sz w:val="18"/>
                <w:szCs w:val="18"/>
                <w:lang w:val="sr-Latn-RS"/>
              </w:rPr>
              <w:t>tel</w:t>
            </w:r>
            <w:r w:rsidR="000D4B8D">
              <w:rPr>
                <w:iCs/>
                <w:sz w:val="18"/>
                <w:szCs w:val="18"/>
                <w:lang w:val="sr-Cyrl-CS"/>
              </w:rPr>
              <w:t>.</w:t>
            </w:r>
            <w:r w:rsidR="000D4B8D">
              <w:rPr>
                <w:iCs/>
                <w:sz w:val="18"/>
                <w:szCs w:val="18"/>
                <w:lang w:val="sr-Latn-RS"/>
              </w:rPr>
              <w:t>: 011 2412-922</w:t>
            </w:r>
            <w:r w:rsidR="000D4B8D">
              <w:rPr>
                <w:iCs/>
                <w:sz w:val="18"/>
                <w:szCs w:val="18"/>
                <w:lang w:val="sr-Cyrl-CS"/>
              </w:rPr>
              <w:t>,</w:t>
            </w:r>
            <w:r w:rsidR="000D4B8D" w:rsidRPr="00BD68C0">
              <w:rPr>
                <w:iCs/>
                <w:sz w:val="18"/>
                <w:szCs w:val="18"/>
                <w:lang w:val="sr-Latn-RS"/>
              </w:rPr>
              <w:t xml:space="preserve"> </w:t>
            </w:r>
            <w:r>
              <w:rPr>
                <w:iCs/>
                <w:sz w:val="18"/>
                <w:szCs w:val="18"/>
                <w:lang w:val="sr-Latn-RS"/>
              </w:rPr>
              <w:t>extension</w:t>
            </w:r>
            <w:r w:rsidR="000D4B8D" w:rsidRPr="00BD68C0">
              <w:rPr>
                <w:iCs/>
                <w:sz w:val="18"/>
                <w:szCs w:val="18"/>
                <w:lang w:val="sr-Latn-RS"/>
              </w:rPr>
              <w:t xml:space="preserve"> 284</w:t>
            </w:r>
          </w:p>
          <w:p w:rsidR="000D4B8D" w:rsidRPr="00EA3C2F" w:rsidRDefault="0008570D" w:rsidP="00D16FAE">
            <w:pPr>
              <w:jc w:val="center"/>
              <w:rPr>
                <w:i/>
                <w:iCs/>
                <w:lang w:val="sr-Cyrl-CS"/>
              </w:rPr>
            </w:pPr>
            <w:r>
              <w:rPr>
                <w:rFonts w:cs="Arial"/>
                <w:iCs/>
                <w:sz w:val="18"/>
                <w:szCs w:val="18"/>
                <w:lang w:val="sr-Latn-RS"/>
              </w:rPr>
              <w:t>Published and printed by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: </w:t>
            </w:r>
            <w:r>
              <w:rPr>
                <w:rFonts w:cs="Arial"/>
                <w:iCs/>
                <w:sz w:val="18"/>
                <w:szCs w:val="18"/>
                <w:lang w:val="sr-Latn-RS"/>
              </w:rPr>
              <w:t>Statistical Office of the Republic of Serbia,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 </w:t>
            </w:r>
            <w:r w:rsidR="000D4B8D">
              <w:rPr>
                <w:rFonts w:cs="Arial"/>
                <w:iCs/>
                <w:sz w:val="18"/>
                <w:szCs w:val="18"/>
                <w:lang w:val="ru-RU"/>
              </w:rPr>
              <w:t xml:space="preserve">11 050 </w:t>
            </w:r>
            <w:r>
              <w:rPr>
                <w:rFonts w:cs="Arial"/>
                <w:iCs/>
                <w:sz w:val="18"/>
                <w:szCs w:val="18"/>
                <w:lang w:val="sr-Latn-RS"/>
              </w:rPr>
              <w:t>Belgrade, Milana Rakića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 5 </w:t>
            </w:r>
            <w:r w:rsidR="000D4B8D" w:rsidRPr="00BD68C0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="000D4B8D" w:rsidRPr="00BD68C0">
              <w:rPr>
                <w:rFonts w:cs="Arial"/>
                <w:iCs/>
                <w:sz w:val="18"/>
                <w:szCs w:val="18"/>
              </w:rPr>
              <w:t>T</w:t>
            </w:r>
            <w:r>
              <w:rPr>
                <w:rFonts w:cs="Arial"/>
                <w:iCs/>
                <w:sz w:val="18"/>
                <w:szCs w:val="18"/>
                <w:lang w:val="sr-Latn-RS"/>
              </w:rPr>
              <w:t>elephone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: </w:t>
            </w:r>
            <w:r w:rsidR="00D16FAE">
              <w:rPr>
                <w:rFonts w:cs="Arial"/>
                <w:iCs/>
                <w:sz w:val="18"/>
                <w:szCs w:val="18"/>
                <w:lang w:val="sr-Latn-RS"/>
              </w:rPr>
              <w:t xml:space="preserve">++ 381 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11 </w:t>
            </w:r>
            <w:r w:rsidR="000D4B8D" w:rsidRPr="00BD68C0">
              <w:rPr>
                <w:rFonts w:cs="Arial"/>
                <w:iCs/>
                <w:sz w:val="18"/>
                <w:szCs w:val="18"/>
                <w:lang w:val="sr-Cyrl-CS"/>
              </w:rPr>
              <w:t>2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>412-922 (</w:t>
            </w:r>
            <w:r w:rsidR="00D16FAE">
              <w:rPr>
                <w:rFonts w:cs="Arial"/>
                <w:iCs/>
                <w:sz w:val="18"/>
                <w:szCs w:val="18"/>
                <w:lang w:val="sr-Latn-RS"/>
              </w:rPr>
              <w:t>telephone exchange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) • </w:t>
            </w:r>
            <w:r w:rsidR="000D4B8D" w:rsidRPr="00BD68C0">
              <w:rPr>
                <w:rFonts w:cs="Arial"/>
                <w:iCs/>
                <w:sz w:val="18"/>
                <w:szCs w:val="18"/>
              </w:rPr>
              <w:t>T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>е</w:t>
            </w:r>
            <w:r w:rsidR="00D16FAE">
              <w:rPr>
                <w:rFonts w:cs="Arial"/>
                <w:iCs/>
                <w:sz w:val="18"/>
                <w:szCs w:val="18"/>
                <w:lang w:val="sr-Latn-RS"/>
              </w:rPr>
              <w:t>lefax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>:</w:t>
            </w:r>
            <w:r w:rsidR="00D16FAE">
              <w:rPr>
                <w:rFonts w:cs="Arial"/>
                <w:iCs/>
                <w:sz w:val="18"/>
                <w:szCs w:val="18"/>
                <w:lang w:val="sr-Latn-RS"/>
              </w:rPr>
              <w:t xml:space="preserve"> ++ 381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 11 2411</w:t>
            </w:r>
            <w:r w:rsidR="000D4B8D" w:rsidRPr="00BD68C0">
              <w:rPr>
                <w:rFonts w:cs="Arial"/>
                <w:iCs/>
                <w:sz w:val="18"/>
                <w:szCs w:val="18"/>
                <w:lang w:val="sr-Cyrl-CS"/>
              </w:rPr>
              <w:t>-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>260 •</w:t>
            </w:r>
            <w:r w:rsidR="000D4B8D" w:rsidRPr="00BD68C0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r w:rsidR="000D4B8D" w:rsidRPr="00BD68C0">
              <w:rPr>
                <w:rFonts w:cs="Arial"/>
                <w:iCs/>
                <w:sz w:val="18"/>
                <w:szCs w:val="18"/>
                <w:lang w:val="sr-Latn-CS"/>
              </w:rPr>
              <w:t>www.stat.gov.rs</w:t>
            </w:r>
            <w:r w:rsidR="000D4B8D" w:rsidRPr="00BD68C0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="00D16FAE">
              <w:rPr>
                <w:rFonts w:cs="Arial"/>
                <w:iCs/>
                <w:sz w:val="18"/>
                <w:szCs w:val="18"/>
                <w:lang w:val="sr-Latn-RS"/>
              </w:rPr>
              <w:t>Responsible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: </w:t>
            </w:r>
            <w:r w:rsidR="00D16FAE">
              <w:rPr>
                <w:rFonts w:cs="Arial"/>
                <w:iCs/>
                <w:sz w:val="18"/>
                <w:szCs w:val="18"/>
                <w:lang w:val="sr-Latn-RS"/>
              </w:rPr>
              <w:t>dr</w:t>
            </w:r>
            <w:r w:rsidR="000D4B8D" w:rsidRPr="00BD68C0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r w:rsidR="000D4B8D">
              <w:rPr>
                <w:rFonts w:cs="Arial"/>
                <w:iCs/>
                <w:sz w:val="18"/>
                <w:szCs w:val="18"/>
                <w:lang w:val="sr-Cyrl-CS"/>
              </w:rPr>
              <w:t>М</w:t>
            </w:r>
            <w:r w:rsidR="00D16FAE">
              <w:rPr>
                <w:rFonts w:cs="Arial"/>
                <w:iCs/>
                <w:sz w:val="18"/>
                <w:szCs w:val="18"/>
                <w:lang w:val="sr-Latn-RS"/>
              </w:rPr>
              <w:t>iladin Kovačević, Director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 </w:t>
            </w:r>
            <w:r w:rsidR="000D4B8D" w:rsidRPr="00BD68C0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="00D16FAE">
              <w:rPr>
                <w:rFonts w:cs="Arial"/>
                <w:iCs/>
                <w:sz w:val="18"/>
                <w:szCs w:val="18"/>
                <w:lang w:val="sr-Latn-RS"/>
              </w:rPr>
              <w:t>Circulation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: </w:t>
            </w:r>
            <w:r w:rsidR="000D4B8D" w:rsidRPr="00BD68C0">
              <w:rPr>
                <w:rFonts w:cs="Arial"/>
                <w:iCs/>
                <w:sz w:val="18"/>
                <w:szCs w:val="18"/>
                <w:lang w:val="sr-Latn-CS"/>
              </w:rPr>
              <w:t>20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 ● </w:t>
            </w:r>
            <w:r w:rsidR="00D16FAE">
              <w:rPr>
                <w:rFonts w:cs="Arial"/>
                <w:iCs/>
                <w:sz w:val="18"/>
                <w:szCs w:val="18"/>
                <w:lang w:val="sr-Latn-RS"/>
              </w:rPr>
              <w:t>Frequency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: </w:t>
            </w:r>
            <w:r w:rsidR="00D16FAE">
              <w:rPr>
                <w:rFonts w:cs="Arial"/>
                <w:iCs/>
                <w:sz w:val="18"/>
                <w:szCs w:val="18"/>
                <w:lang w:val="sr-Latn-RS"/>
              </w:rPr>
              <w:t>annual</w:t>
            </w:r>
          </w:p>
        </w:tc>
      </w:tr>
    </w:tbl>
    <w:p w:rsidR="000F3806" w:rsidRDefault="000F3806" w:rsidP="000F3806">
      <w:pPr>
        <w:rPr>
          <w:lang w:val="sr-Latn-R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61E7CA4" wp14:editId="6AA09537">
                <wp:simplePos x="0" y="0"/>
                <wp:positionH relativeFrom="character">
                  <wp:posOffset>0</wp:posOffset>
                </wp:positionH>
                <wp:positionV relativeFrom="line">
                  <wp:posOffset>86896</wp:posOffset>
                </wp:positionV>
                <wp:extent cx="720000" cy="0"/>
                <wp:effectExtent l="0" t="0" r="234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char;mso-position-vertical:absolute;mso-position-vertical-relative:line;mso-width-percent:0;mso-width-relative:margin" from="0,6.85pt" to="56.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" strokecolor="black [3213]" strokeweight=".25pt">
                <w10:wrap anchory="line"/>
              </v:line>
            </w:pict>
          </mc:Fallback>
        </mc:AlternateContent>
      </w:r>
    </w:p>
    <w:p w:rsidR="000F3806" w:rsidRPr="004852BD" w:rsidRDefault="000F3806" w:rsidP="000F3806">
      <w:pPr>
        <w:rPr>
          <w:sz w:val="14"/>
          <w:szCs w:val="14"/>
        </w:rPr>
      </w:pPr>
      <w:r w:rsidRPr="004852BD">
        <w:rPr>
          <w:sz w:val="14"/>
          <w:szCs w:val="14"/>
          <w:vertAlign w:val="superscript"/>
          <w:lang w:val="sr-Latn-RS"/>
        </w:rPr>
        <w:t>1)</w:t>
      </w:r>
      <w:r>
        <w:rPr>
          <w:sz w:val="14"/>
          <w:szCs w:val="14"/>
          <w:lang w:val="sr-Latn-RS"/>
        </w:rPr>
        <w:t xml:space="preserve"> </w:t>
      </w:r>
      <w:proofErr w:type="spellStart"/>
      <w:r>
        <w:rPr>
          <w:sz w:val="14"/>
          <w:szCs w:val="14"/>
          <w:lang w:val="sr-Latn-RS"/>
        </w:rPr>
        <w:t>Previous</w:t>
      </w:r>
      <w:proofErr w:type="spellEnd"/>
      <w:r>
        <w:rPr>
          <w:sz w:val="14"/>
          <w:szCs w:val="14"/>
          <w:lang w:val="sr-Latn-RS"/>
        </w:rPr>
        <w:t xml:space="preserve"> data</w:t>
      </w:r>
      <w:r>
        <w:rPr>
          <w:sz w:val="14"/>
          <w:szCs w:val="14"/>
        </w:rPr>
        <w:t>.</w:t>
      </w:r>
      <w:r w:rsidRPr="004852BD">
        <w:rPr>
          <w:sz w:val="14"/>
          <w:szCs w:val="14"/>
          <w:lang w:val="sr-Latn-RS"/>
        </w:rPr>
        <w:t xml:space="preserve"> </w:t>
      </w:r>
    </w:p>
    <w:p w:rsidR="000F3806" w:rsidRPr="001D61FD" w:rsidRDefault="000F3806" w:rsidP="006A7E8E">
      <w:pPr>
        <w:rPr>
          <w:lang w:val="sr-Latn-CS"/>
        </w:rPr>
      </w:pPr>
    </w:p>
    <w:sectPr w:rsidR="000F3806" w:rsidRPr="001D61FD" w:rsidSect="00A7556A">
      <w:footerReference w:type="even" r:id="rId9"/>
      <w:footerReference w:type="default" r:id="rId10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5E8" w:rsidRDefault="000265E8">
      <w:r>
        <w:separator/>
      </w:r>
    </w:p>
  </w:endnote>
  <w:endnote w:type="continuationSeparator" w:id="0">
    <w:p w:rsidR="000265E8" w:rsidRDefault="0002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644F4F" w:rsidRPr="007C4CA6" w:rsidTr="00EA3C2F">
      <w:tc>
        <w:tcPr>
          <w:tcW w:w="5210" w:type="dxa"/>
          <w:shd w:val="clear" w:color="auto" w:fill="auto"/>
        </w:tcPr>
        <w:p w:rsidR="00644F4F" w:rsidRPr="007C4CA6" w:rsidRDefault="00644F4F" w:rsidP="00EA3C2F">
          <w:pPr>
            <w:spacing w:before="120"/>
            <w:rPr>
              <w:iCs/>
              <w:sz w:val="16"/>
              <w:szCs w:val="16"/>
            </w:rPr>
          </w:pPr>
          <w:r w:rsidRPr="007C4CA6">
            <w:rPr>
              <w:iCs/>
              <w:sz w:val="16"/>
              <w:szCs w:val="16"/>
            </w:rPr>
            <w:fldChar w:fldCharType="begin"/>
          </w:r>
          <w:r w:rsidRPr="007C4CA6">
            <w:rPr>
              <w:iCs/>
              <w:sz w:val="16"/>
              <w:szCs w:val="16"/>
            </w:rPr>
            <w:instrText xml:space="preserve"> PAGE </w:instrText>
          </w:r>
          <w:r w:rsidRPr="007C4CA6">
            <w:rPr>
              <w:iCs/>
              <w:sz w:val="16"/>
              <w:szCs w:val="16"/>
            </w:rPr>
            <w:fldChar w:fldCharType="separate"/>
          </w:r>
          <w:r w:rsidR="004100CA">
            <w:rPr>
              <w:iCs/>
              <w:noProof/>
              <w:sz w:val="16"/>
              <w:szCs w:val="16"/>
            </w:rPr>
            <w:t>2</w:t>
          </w:r>
          <w:r w:rsidRPr="007C4CA6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shd w:val="clear" w:color="auto" w:fill="auto"/>
        </w:tcPr>
        <w:p w:rsidR="00644F4F" w:rsidRPr="00D86F28" w:rsidRDefault="00A456E1" w:rsidP="00A456E1">
          <w:pPr>
            <w:spacing w:before="120"/>
            <w:jc w:val="right"/>
            <w:rPr>
              <w:bCs/>
              <w:sz w:val="16"/>
              <w:szCs w:val="16"/>
            </w:rPr>
          </w:pPr>
          <w:r>
            <w:rPr>
              <w:bCs/>
              <w:sz w:val="16"/>
              <w:szCs w:val="16"/>
              <w:lang w:val="en-US"/>
            </w:rPr>
            <w:t>SERB177 AS</w:t>
          </w:r>
          <w:r w:rsidR="00644F4F">
            <w:rPr>
              <w:bCs/>
              <w:sz w:val="16"/>
              <w:szCs w:val="16"/>
            </w:rPr>
            <w:t>21</w:t>
          </w:r>
          <w:r w:rsidR="00644F4F" w:rsidRPr="007C4CA6">
            <w:rPr>
              <w:bCs/>
              <w:sz w:val="16"/>
              <w:szCs w:val="16"/>
              <w:lang w:val="sr-Cyrl-CS"/>
            </w:rPr>
            <w:t xml:space="preserve"> </w:t>
          </w:r>
          <w:r w:rsidR="00644F4F">
            <w:rPr>
              <w:bCs/>
              <w:sz w:val="16"/>
              <w:szCs w:val="16"/>
            </w:rPr>
            <w:t>300617</w:t>
          </w:r>
        </w:p>
      </w:tc>
    </w:tr>
  </w:tbl>
  <w:p w:rsidR="00644F4F" w:rsidRPr="00933BE7" w:rsidRDefault="00644F4F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644F4F" w:rsidRPr="007C4CA6" w:rsidTr="00EA3C2F">
      <w:tc>
        <w:tcPr>
          <w:tcW w:w="5210" w:type="dxa"/>
          <w:shd w:val="clear" w:color="auto" w:fill="auto"/>
        </w:tcPr>
        <w:p w:rsidR="00644F4F" w:rsidRPr="00EA038B" w:rsidRDefault="00644F4F" w:rsidP="003A2B0D">
          <w:pPr>
            <w:spacing w:before="120"/>
            <w:rPr>
              <w:iCs/>
              <w:sz w:val="16"/>
              <w:szCs w:val="16"/>
            </w:rPr>
          </w:pPr>
          <w:r w:rsidRPr="007C4CA6">
            <w:rPr>
              <w:iCs/>
              <w:sz w:val="16"/>
              <w:szCs w:val="16"/>
            </w:rPr>
            <w:t>СРБ</w:t>
          </w:r>
          <w:r>
            <w:rPr>
              <w:iCs/>
              <w:sz w:val="16"/>
              <w:szCs w:val="16"/>
              <w:lang w:val="en-US"/>
            </w:rPr>
            <w:t>296</w:t>
          </w:r>
          <w:r w:rsidRPr="007C4CA6">
            <w:rPr>
              <w:iCs/>
              <w:sz w:val="16"/>
              <w:szCs w:val="16"/>
              <w:lang w:val="sr-Latn-CS"/>
            </w:rPr>
            <w:t xml:space="preserve"> </w:t>
          </w:r>
          <w:r w:rsidRPr="007C4CA6">
            <w:rPr>
              <w:iCs/>
              <w:sz w:val="16"/>
              <w:szCs w:val="16"/>
              <w:lang w:val="sr-Cyrl-CS"/>
            </w:rPr>
            <w:t>ДД40</w:t>
          </w:r>
          <w:r w:rsidRPr="007C4CA6">
            <w:rPr>
              <w:iCs/>
              <w:sz w:val="16"/>
              <w:szCs w:val="16"/>
            </w:rPr>
            <w:t xml:space="preserve"> </w:t>
          </w:r>
          <w:r w:rsidRPr="007C4CA6">
            <w:rPr>
              <w:iCs/>
              <w:sz w:val="16"/>
              <w:szCs w:val="16"/>
              <w:lang w:val="sr-Latn-RS"/>
            </w:rPr>
            <w:t>18111</w:t>
          </w:r>
          <w:r>
            <w:rPr>
              <w:iCs/>
              <w:sz w:val="16"/>
              <w:szCs w:val="16"/>
              <w:lang w:val="sr-Latn-RS"/>
            </w:rPr>
            <w:t>6</w:t>
          </w:r>
        </w:p>
      </w:tc>
      <w:tc>
        <w:tcPr>
          <w:tcW w:w="5211" w:type="dxa"/>
          <w:shd w:val="clear" w:color="auto" w:fill="auto"/>
        </w:tcPr>
        <w:p w:rsidR="00644F4F" w:rsidRPr="007C4CA6" w:rsidRDefault="00644F4F" w:rsidP="00EA3C2F">
          <w:pPr>
            <w:spacing w:before="120"/>
            <w:jc w:val="right"/>
            <w:rPr>
              <w:bCs/>
              <w:sz w:val="16"/>
              <w:szCs w:val="16"/>
            </w:rPr>
          </w:pPr>
          <w:r w:rsidRPr="007C4CA6">
            <w:rPr>
              <w:bCs/>
              <w:sz w:val="16"/>
              <w:szCs w:val="16"/>
            </w:rPr>
            <w:fldChar w:fldCharType="begin"/>
          </w:r>
          <w:r w:rsidRPr="007C4CA6">
            <w:rPr>
              <w:bCs/>
              <w:sz w:val="16"/>
              <w:szCs w:val="16"/>
            </w:rPr>
            <w:instrText xml:space="preserve"> PAGE </w:instrText>
          </w:r>
          <w:r w:rsidRPr="007C4CA6">
            <w:rPr>
              <w:bCs/>
              <w:sz w:val="16"/>
              <w:szCs w:val="16"/>
            </w:rPr>
            <w:fldChar w:fldCharType="separate"/>
          </w:r>
          <w:r w:rsidR="000F3806">
            <w:rPr>
              <w:bCs/>
              <w:noProof/>
              <w:sz w:val="16"/>
              <w:szCs w:val="16"/>
            </w:rPr>
            <w:t>3</w:t>
          </w:r>
          <w:r w:rsidRPr="007C4CA6">
            <w:rPr>
              <w:bCs/>
              <w:sz w:val="16"/>
              <w:szCs w:val="16"/>
            </w:rPr>
            <w:fldChar w:fldCharType="end"/>
          </w:r>
        </w:p>
      </w:tc>
    </w:tr>
  </w:tbl>
  <w:p w:rsidR="00644F4F" w:rsidRPr="00933BE7" w:rsidRDefault="00644F4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5E8" w:rsidRDefault="000265E8">
      <w:r>
        <w:separator/>
      </w:r>
    </w:p>
  </w:footnote>
  <w:footnote w:type="continuationSeparator" w:id="0">
    <w:p w:rsidR="000265E8" w:rsidRDefault="00026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1EC64E60"/>
    <w:multiLevelType w:val="hybridMultilevel"/>
    <w:tmpl w:val="39F282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7">
    <w:nsid w:val="3507083C"/>
    <w:multiLevelType w:val="hybridMultilevel"/>
    <w:tmpl w:val="5980FBBC"/>
    <w:lvl w:ilvl="0" w:tplc="F51612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E5550B"/>
    <w:multiLevelType w:val="hybridMultilevel"/>
    <w:tmpl w:val="3DDA4E2E"/>
    <w:lvl w:ilvl="0" w:tplc="F51612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1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2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4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5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6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9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1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2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0454B7B"/>
    <w:multiLevelType w:val="hybridMultilevel"/>
    <w:tmpl w:val="7660D242"/>
    <w:lvl w:ilvl="0" w:tplc="F5161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FC736E9"/>
    <w:multiLevelType w:val="hybridMultilevel"/>
    <w:tmpl w:val="0768674A"/>
    <w:lvl w:ilvl="0" w:tplc="F5161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26"/>
  </w:num>
  <w:num w:numId="13">
    <w:abstractNumId w:val="8"/>
  </w:num>
  <w:num w:numId="14">
    <w:abstractNumId w:val="30"/>
  </w:num>
  <w:num w:numId="15">
    <w:abstractNumId w:val="28"/>
  </w:num>
  <w:num w:numId="16">
    <w:abstractNumId w:val="12"/>
  </w:num>
  <w:num w:numId="17">
    <w:abstractNumId w:val="13"/>
  </w:num>
  <w:num w:numId="18">
    <w:abstractNumId w:val="34"/>
  </w:num>
  <w:num w:numId="19">
    <w:abstractNumId w:val="25"/>
  </w:num>
  <w:num w:numId="20">
    <w:abstractNumId w:val="22"/>
  </w:num>
  <w:num w:numId="21">
    <w:abstractNumId w:val="32"/>
  </w:num>
  <w:num w:numId="22">
    <w:abstractNumId w:val="27"/>
  </w:num>
  <w:num w:numId="23">
    <w:abstractNumId w:val="24"/>
  </w:num>
  <w:num w:numId="24">
    <w:abstractNumId w:val="16"/>
  </w:num>
  <w:num w:numId="25">
    <w:abstractNumId w:val="15"/>
  </w:num>
  <w:num w:numId="26">
    <w:abstractNumId w:val="20"/>
  </w:num>
  <w:num w:numId="27">
    <w:abstractNumId w:val="31"/>
  </w:num>
  <w:num w:numId="28">
    <w:abstractNumId w:val="11"/>
  </w:num>
  <w:num w:numId="29">
    <w:abstractNumId w:val="29"/>
  </w:num>
  <w:num w:numId="30">
    <w:abstractNumId w:val="23"/>
  </w:num>
  <w:num w:numId="31">
    <w:abstractNumId w:val="21"/>
  </w:num>
  <w:num w:numId="32">
    <w:abstractNumId w:val="10"/>
  </w:num>
  <w:num w:numId="33">
    <w:abstractNumId w:val="35"/>
  </w:num>
  <w:num w:numId="34">
    <w:abstractNumId w:val="18"/>
  </w:num>
  <w:num w:numId="35">
    <w:abstractNumId w:val="33"/>
  </w:num>
  <w:num w:numId="36">
    <w:abstractNumId w:val="17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89"/>
    <w:rsid w:val="0000317F"/>
    <w:rsid w:val="000049E7"/>
    <w:rsid w:val="000212E2"/>
    <w:rsid w:val="00021C9B"/>
    <w:rsid w:val="00025AE9"/>
    <w:rsid w:val="000265E8"/>
    <w:rsid w:val="00027264"/>
    <w:rsid w:val="00032FCE"/>
    <w:rsid w:val="0004729F"/>
    <w:rsid w:val="00056A2A"/>
    <w:rsid w:val="00060122"/>
    <w:rsid w:val="00084CB7"/>
    <w:rsid w:val="0008570D"/>
    <w:rsid w:val="0008594B"/>
    <w:rsid w:val="000A0823"/>
    <w:rsid w:val="000A3363"/>
    <w:rsid w:val="000B10EA"/>
    <w:rsid w:val="000B3A59"/>
    <w:rsid w:val="000B7381"/>
    <w:rsid w:val="000D4726"/>
    <w:rsid w:val="000D4B8D"/>
    <w:rsid w:val="000D6845"/>
    <w:rsid w:val="000E23B5"/>
    <w:rsid w:val="000F3806"/>
    <w:rsid w:val="000F7389"/>
    <w:rsid w:val="001034CA"/>
    <w:rsid w:val="001057A8"/>
    <w:rsid w:val="00110976"/>
    <w:rsid w:val="00112C9B"/>
    <w:rsid w:val="00117B75"/>
    <w:rsid w:val="00120DC5"/>
    <w:rsid w:val="00123D75"/>
    <w:rsid w:val="001245F5"/>
    <w:rsid w:val="0014018B"/>
    <w:rsid w:val="00140B9E"/>
    <w:rsid w:val="0014318B"/>
    <w:rsid w:val="00151F18"/>
    <w:rsid w:val="00156B85"/>
    <w:rsid w:val="00161C21"/>
    <w:rsid w:val="00165B24"/>
    <w:rsid w:val="001713E8"/>
    <w:rsid w:val="00174E1D"/>
    <w:rsid w:val="00184568"/>
    <w:rsid w:val="001A08A1"/>
    <w:rsid w:val="001B5E2C"/>
    <w:rsid w:val="001C14ED"/>
    <w:rsid w:val="001C3045"/>
    <w:rsid w:val="001C31CB"/>
    <w:rsid w:val="001D2C77"/>
    <w:rsid w:val="001D61FD"/>
    <w:rsid w:val="001E50A1"/>
    <w:rsid w:val="00215B12"/>
    <w:rsid w:val="00225696"/>
    <w:rsid w:val="0022656F"/>
    <w:rsid w:val="002338F2"/>
    <w:rsid w:val="002577D1"/>
    <w:rsid w:val="00260103"/>
    <w:rsid w:val="00261537"/>
    <w:rsid w:val="00266953"/>
    <w:rsid w:val="002713F2"/>
    <w:rsid w:val="0027276E"/>
    <w:rsid w:val="00284FE7"/>
    <w:rsid w:val="00287FD9"/>
    <w:rsid w:val="00292B20"/>
    <w:rsid w:val="002A5996"/>
    <w:rsid w:val="002B66A1"/>
    <w:rsid w:val="002C4192"/>
    <w:rsid w:val="002F13AB"/>
    <w:rsid w:val="002F360D"/>
    <w:rsid w:val="0032260C"/>
    <w:rsid w:val="00322A39"/>
    <w:rsid w:val="00323425"/>
    <w:rsid w:val="00327B2C"/>
    <w:rsid w:val="00343F54"/>
    <w:rsid w:val="003472A6"/>
    <w:rsid w:val="00357F01"/>
    <w:rsid w:val="003671CF"/>
    <w:rsid w:val="00367E6B"/>
    <w:rsid w:val="003767F1"/>
    <w:rsid w:val="00384428"/>
    <w:rsid w:val="003928B7"/>
    <w:rsid w:val="00392E99"/>
    <w:rsid w:val="00395DD5"/>
    <w:rsid w:val="003A2B0D"/>
    <w:rsid w:val="003A2F46"/>
    <w:rsid w:val="003A3532"/>
    <w:rsid w:val="003B685E"/>
    <w:rsid w:val="003C4653"/>
    <w:rsid w:val="003E06F2"/>
    <w:rsid w:val="003E3C34"/>
    <w:rsid w:val="003F3A44"/>
    <w:rsid w:val="004100CA"/>
    <w:rsid w:val="00411E58"/>
    <w:rsid w:val="0041371A"/>
    <w:rsid w:val="0041739D"/>
    <w:rsid w:val="00420E98"/>
    <w:rsid w:val="00421FC9"/>
    <w:rsid w:val="00432CB2"/>
    <w:rsid w:val="00432F75"/>
    <w:rsid w:val="00433486"/>
    <w:rsid w:val="00442578"/>
    <w:rsid w:val="00443DC2"/>
    <w:rsid w:val="0045261A"/>
    <w:rsid w:val="00452C25"/>
    <w:rsid w:val="00475B2D"/>
    <w:rsid w:val="00476A85"/>
    <w:rsid w:val="00484F96"/>
    <w:rsid w:val="00485185"/>
    <w:rsid w:val="004946DA"/>
    <w:rsid w:val="004958A5"/>
    <w:rsid w:val="004A0008"/>
    <w:rsid w:val="004A4270"/>
    <w:rsid w:val="004A7323"/>
    <w:rsid w:val="004B463B"/>
    <w:rsid w:val="004C17DD"/>
    <w:rsid w:val="004C29C3"/>
    <w:rsid w:val="004E266D"/>
    <w:rsid w:val="004E3796"/>
    <w:rsid w:val="004E5ADD"/>
    <w:rsid w:val="004F1C0A"/>
    <w:rsid w:val="004F4876"/>
    <w:rsid w:val="004F4A0C"/>
    <w:rsid w:val="004F4A78"/>
    <w:rsid w:val="00500A79"/>
    <w:rsid w:val="005021C6"/>
    <w:rsid w:val="005053D6"/>
    <w:rsid w:val="005062DF"/>
    <w:rsid w:val="00517689"/>
    <w:rsid w:val="005324E0"/>
    <w:rsid w:val="00543EEE"/>
    <w:rsid w:val="00544DD8"/>
    <w:rsid w:val="005452E1"/>
    <w:rsid w:val="00545435"/>
    <w:rsid w:val="005548EE"/>
    <w:rsid w:val="005605E2"/>
    <w:rsid w:val="00561B79"/>
    <w:rsid w:val="00564B36"/>
    <w:rsid w:val="005759AB"/>
    <w:rsid w:val="00581737"/>
    <w:rsid w:val="00581A0F"/>
    <w:rsid w:val="00590A0C"/>
    <w:rsid w:val="00591B6F"/>
    <w:rsid w:val="00591F3B"/>
    <w:rsid w:val="005939D9"/>
    <w:rsid w:val="00595517"/>
    <w:rsid w:val="00596613"/>
    <w:rsid w:val="00596A18"/>
    <w:rsid w:val="005976B7"/>
    <w:rsid w:val="005A020F"/>
    <w:rsid w:val="005A1054"/>
    <w:rsid w:val="005B17E1"/>
    <w:rsid w:val="005B5B60"/>
    <w:rsid w:val="005C10E4"/>
    <w:rsid w:val="005C2ACA"/>
    <w:rsid w:val="005C4034"/>
    <w:rsid w:val="005C45C0"/>
    <w:rsid w:val="005C503A"/>
    <w:rsid w:val="005C7938"/>
    <w:rsid w:val="005D40B3"/>
    <w:rsid w:val="005E4FA6"/>
    <w:rsid w:val="005F217C"/>
    <w:rsid w:val="005F408E"/>
    <w:rsid w:val="00603748"/>
    <w:rsid w:val="006210DB"/>
    <w:rsid w:val="00625AAE"/>
    <w:rsid w:val="00626DB8"/>
    <w:rsid w:val="00627E99"/>
    <w:rsid w:val="00630631"/>
    <w:rsid w:val="00644F4F"/>
    <w:rsid w:val="006471E8"/>
    <w:rsid w:val="00651833"/>
    <w:rsid w:val="0067119B"/>
    <w:rsid w:val="00677A51"/>
    <w:rsid w:val="0069777B"/>
    <w:rsid w:val="006A3197"/>
    <w:rsid w:val="006A7E8E"/>
    <w:rsid w:val="006B2FA2"/>
    <w:rsid w:val="006B7517"/>
    <w:rsid w:val="006C078D"/>
    <w:rsid w:val="006D0F55"/>
    <w:rsid w:val="006E7AF4"/>
    <w:rsid w:val="006F1FBF"/>
    <w:rsid w:val="006F35D2"/>
    <w:rsid w:val="00701779"/>
    <w:rsid w:val="0070369C"/>
    <w:rsid w:val="007264A9"/>
    <w:rsid w:val="0073113A"/>
    <w:rsid w:val="00742E08"/>
    <w:rsid w:val="0075752E"/>
    <w:rsid w:val="00770E36"/>
    <w:rsid w:val="00790EE3"/>
    <w:rsid w:val="0079496C"/>
    <w:rsid w:val="007A551E"/>
    <w:rsid w:val="007A55A7"/>
    <w:rsid w:val="007A5D22"/>
    <w:rsid w:val="007A7392"/>
    <w:rsid w:val="007B33E6"/>
    <w:rsid w:val="007C4CA6"/>
    <w:rsid w:val="007D24F8"/>
    <w:rsid w:val="007D4AF9"/>
    <w:rsid w:val="007E2BD1"/>
    <w:rsid w:val="007E3FD2"/>
    <w:rsid w:val="007E6E68"/>
    <w:rsid w:val="007F1EB5"/>
    <w:rsid w:val="007F63EA"/>
    <w:rsid w:val="00800AF4"/>
    <w:rsid w:val="00815742"/>
    <w:rsid w:val="008174D7"/>
    <w:rsid w:val="008200B5"/>
    <w:rsid w:val="0082017B"/>
    <w:rsid w:val="00820253"/>
    <w:rsid w:val="008228CE"/>
    <w:rsid w:val="00831E75"/>
    <w:rsid w:val="00834988"/>
    <w:rsid w:val="00843F8C"/>
    <w:rsid w:val="00851D01"/>
    <w:rsid w:val="008524D6"/>
    <w:rsid w:val="00856212"/>
    <w:rsid w:val="00862686"/>
    <w:rsid w:val="00865950"/>
    <w:rsid w:val="0087552A"/>
    <w:rsid w:val="00881071"/>
    <w:rsid w:val="0089419C"/>
    <w:rsid w:val="008953E9"/>
    <w:rsid w:val="008B27B7"/>
    <w:rsid w:val="008B4BE6"/>
    <w:rsid w:val="008B544B"/>
    <w:rsid w:val="008B61CE"/>
    <w:rsid w:val="008C2047"/>
    <w:rsid w:val="008C3B72"/>
    <w:rsid w:val="008C44B8"/>
    <w:rsid w:val="008D4C05"/>
    <w:rsid w:val="008E21F1"/>
    <w:rsid w:val="008F4265"/>
    <w:rsid w:val="008F5EAC"/>
    <w:rsid w:val="00903CA5"/>
    <w:rsid w:val="00904758"/>
    <w:rsid w:val="00904BEC"/>
    <w:rsid w:val="00910A29"/>
    <w:rsid w:val="009209D4"/>
    <w:rsid w:val="00923D89"/>
    <w:rsid w:val="009324E6"/>
    <w:rsid w:val="00933BE7"/>
    <w:rsid w:val="00934F49"/>
    <w:rsid w:val="00935F76"/>
    <w:rsid w:val="00940DEA"/>
    <w:rsid w:val="00943537"/>
    <w:rsid w:val="00953B72"/>
    <w:rsid w:val="009847A3"/>
    <w:rsid w:val="00986E42"/>
    <w:rsid w:val="0098708B"/>
    <w:rsid w:val="00993513"/>
    <w:rsid w:val="009B5242"/>
    <w:rsid w:val="009B620C"/>
    <w:rsid w:val="009C00CC"/>
    <w:rsid w:val="009C25AA"/>
    <w:rsid w:val="009D1BB9"/>
    <w:rsid w:val="009D28E8"/>
    <w:rsid w:val="009E3CD2"/>
    <w:rsid w:val="009E4CF4"/>
    <w:rsid w:val="009F0F20"/>
    <w:rsid w:val="00A02193"/>
    <w:rsid w:val="00A1539B"/>
    <w:rsid w:val="00A20D67"/>
    <w:rsid w:val="00A21867"/>
    <w:rsid w:val="00A277D0"/>
    <w:rsid w:val="00A456E1"/>
    <w:rsid w:val="00A5233E"/>
    <w:rsid w:val="00A54FB9"/>
    <w:rsid w:val="00A57A19"/>
    <w:rsid w:val="00A618AD"/>
    <w:rsid w:val="00A62452"/>
    <w:rsid w:val="00A67881"/>
    <w:rsid w:val="00A7556A"/>
    <w:rsid w:val="00A84F98"/>
    <w:rsid w:val="00A85F30"/>
    <w:rsid w:val="00AB245A"/>
    <w:rsid w:val="00AC43D9"/>
    <w:rsid w:val="00AD6E6E"/>
    <w:rsid w:val="00AE6FBB"/>
    <w:rsid w:val="00B03055"/>
    <w:rsid w:val="00B17172"/>
    <w:rsid w:val="00B21177"/>
    <w:rsid w:val="00B31708"/>
    <w:rsid w:val="00B54F4C"/>
    <w:rsid w:val="00B64573"/>
    <w:rsid w:val="00B67558"/>
    <w:rsid w:val="00B83073"/>
    <w:rsid w:val="00B863D2"/>
    <w:rsid w:val="00B9154F"/>
    <w:rsid w:val="00B967F5"/>
    <w:rsid w:val="00BA1BA5"/>
    <w:rsid w:val="00BA2A4A"/>
    <w:rsid w:val="00BB057F"/>
    <w:rsid w:val="00BC01BD"/>
    <w:rsid w:val="00BC5F23"/>
    <w:rsid w:val="00BD3AF4"/>
    <w:rsid w:val="00BD6414"/>
    <w:rsid w:val="00BD68C0"/>
    <w:rsid w:val="00BE0489"/>
    <w:rsid w:val="00BF65E0"/>
    <w:rsid w:val="00C0166E"/>
    <w:rsid w:val="00C13D19"/>
    <w:rsid w:val="00C149A4"/>
    <w:rsid w:val="00C16A16"/>
    <w:rsid w:val="00C20399"/>
    <w:rsid w:val="00C30EBF"/>
    <w:rsid w:val="00C37F67"/>
    <w:rsid w:val="00C9170F"/>
    <w:rsid w:val="00CA16B2"/>
    <w:rsid w:val="00CC0777"/>
    <w:rsid w:val="00CC2991"/>
    <w:rsid w:val="00CD40C9"/>
    <w:rsid w:val="00CD5281"/>
    <w:rsid w:val="00CD6DB8"/>
    <w:rsid w:val="00CF20F9"/>
    <w:rsid w:val="00CF74C4"/>
    <w:rsid w:val="00D02A56"/>
    <w:rsid w:val="00D031C6"/>
    <w:rsid w:val="00D06FB5"/>
    <w:rsid w:val="00D075D6"/>
    <w:rsid w:val="00D16FAE"/>
    <w:rsid w:val="00D246E7"/>
    <w:rsid w:val="00D3771D"/>
    <w:rsid w:val="00D431F3"/>
    <w:rsid w:val="00D44043"/>
    <w:rsid w:val="00D515EA"/>
    <w:rsid w:val="00D5713A"/>
    <w:rsid w:val="00D66EB9"/>
    <w:rsid w:val="00D7494A"/>
    <w:rsid w:val="00D86A87"/>
    <w:rsid w:val="00D86F28"/>
    <w:rsid w:val="00DA14AE"/>
    <w:rsid w:val="00DB2461"/>
    <w:rsid w:val="00DC6178"/>
    <w:rsid w:val="00DC6B97"/>
    <w:rsid w:val="00DD77BC"/>
    <w:rsid w:val="00DD79B9"/>
    <w:rsid w:val="00DE031C"/>
    <w:rsid w:val="00DE1BD0"/>
    <w:rsid w:val="00E07E9C"/>
    <w:rsid w:val="00E1586A"/>
    <w:rsid w:val="00E40273"/>
    <w:rsid w:val="00E550A3"/>
    <w:rsid w:val="00E610E9"/>
    <w:rsid w:val="00E70673"/>
    <w:rsid w:val="00E70E1F"/>
    <w:rsid w:val="00E73CCC"/>
    <w:rsid w:val="00E77E48"/>
    <w:rsid w:val="00E8012D"/>
    <w:rsid w:val="00E83B93"/>
    <w:rsid w:val="00E87323"/>
    <w:rsid w:val="00E909B7"/>
    <w:rsid w:val="00EA038B"/>
    <w:rsid w:val="00EA3C2F"/>
    <w:rsid w:val="00EA5F80"/>
    <w:rsid w:val="00EB7050"/>
    <w:rsid w:val="00EC17D6"/>
    <w:rsid w:val="00EC3E4F"/>
    <w:rsid w:val="00EC4F79"/>
    <w:rsid w:val="00ED13D3"/>
    <w:rsid w:val="00ED4FC2"/>
    <w:rsid w:val="00ED68B8"/>
    <w:rsid w:val="00EF3E24"/>
    <w:rsid w:val="00EF3E6B"/>
    <w:rsid w:val="00EF6145"/>
    <w:rsid w:val="00F01407"/>
    <w:rsid w:val="00F13D23"/>
    <w:rsid w:val="00F17F2D"/>
    <w:rsid w:val="00F23E47"/>
    <w:rsid w:val="00F43CFF"/>
    <w:rsid w:val="00F45974"/>
    <w:rsid w:val="00F50635"/>
    <w:rsid w:val="00F554F4"/>
    <w:rsid w:val="00F572B7"/>
    <w:rsid w:val="00F801A0"/>
    <w:rsid w:val="00F86959"/>
    <w:rsid w:val="00F97C6C"/>
    <w:rsid w:val="00FA65E3"/>
    <w:rsid w:val="00FA66FB"/>
    <w:rsid w:val="00FC021A"/>
    <w:rsid w:val="00FD6B5B"/>
    <w:rsid w:val="00FF3BEC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C05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F7389"/>
    <w:pPr>
      <w:keepNext/>
      <w:outlineLvl w:val="3"/>
    </w:pPr>
    <w:rPr>
      <w:rFonts w:cs="Arial"/>
      <w:sz w:val="32"/>
      <w:szCs w:val="40"/>
      <w:lang w:val="sr-Cyrl-CS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semiHidden/>
    <w:rsid w:val="00120DC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xl24">
    <w:name w:val="xl24"/>
    <w:basedOn w:val="Normal"/>
    <w:rsid w:val="00561B79"/>
    <w:pPr>
      <w:spacing w:before="100" w:beforeAutospacing="1" w:after="100" w:afterAutospacing="1"/>
    </w:pPr>
    <w:rPr>
      <w:rFonts w:ascii="Arial Cirilica" w:eastAsia="Arial Unicode MS" w:hAnsi="Arial Cirilica" w:cs="Arial Unicode MS"/>
      <w:sz w:val="24"/>
    </w:rPr>
  </w:style>
  <w:style w:type="paragraph" w:customStyle="1" w:styleId="FR3">
    <w:name w:val="FR3"/>
    <w:rsid w:val="00561B79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character" w:styleId="PageNumber">
    <w:name w:val="page number"/>
    <w:basedOn w:val="DefaultParagraphFont"/>
    <w:rsid w:val="00561B79"/>
  </w:style>
  <w:style w:type="character" w:styleId="Hyperlink">
    <w:name w:val="Hyperlink"/>
    <w:uiPriority w:val="99"/>
    <w:unhideWhenUsed/>
    <w:rsid w:val="005324E0"/>
    <w:rPr>
      <w:color w:val="0000FF"/>
      <w:u w:val="single"/>
    </w:rPr>
  </w:style>
  <w:style w:type="character" w:styleId="FollowedHyperlink">
    <w:name w:val="FollowedHyperlink"/>
    <w:uiPriority w:val="99"/>
    <w:unhideWhenUsed/>
    <w:rsid w:val="005324E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C05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F7389"/>
    <w:pPr>
      <w:keepNext/>
      <w:outlineLvl w:val="3"/>
    </w:pPr>
    <w:rPr>
      <w:rFonts w:cs="Arial"/>
      <w:sz w:val="32"/>
      <w:szCs w:val="40"/>
      <w:lang w:val="sr-Cyrl-CS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semiHidden/>
    <w:rsid w:val="00120DC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xl24">
    <w:name w:val="xl24"/>
    <w:basedOn w:val="Normal"/>
    <w:rsid w:val="00561B79"/>
    <w:pPr>
      <w:spacing w:before="100" w:beforeAutospacing="1" w:after="100" w:afterAutospacing="1"/>
    </w:pPr>
    <w:rPr>
      <w:rFonts w:ascii="Arial Cirilica" w:eastAsia="Arial Unicode MS" w:hAnsi="Arial Cirilica" w:cs="Arial Unicode MS"/>
      <w:sz w:val="24"/>
    </w:rPr>
  </w:style>
  <w:style w:type="paragraph" w:customStyle="1" w:styleId="FR3">
    <w:name w:val="FR3"/>
    <w:rsid w:val="00561B79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character" w:styleId="PageNumber">
    <w:name w:val="page number"/>
    <w:basedOn w:val="DefaultParagraphFont"/>
    <w:rsid w:val="00561B79"/>
  </w:style>
  <w:style w:type="character" w:styleId="Hyperlink">
    <w:name w:val="Hyperlink"/>
    <w:uiPriority w:val="99"/>
    <w:unhideWhenUsed/>
    <w:rsid w:val="005324E0"/>
    <w:rPr>
      <w:color w:val="0000FF"/>
      <w:u w:val="single"/>
    </w:rPr>
  </w:style>
  <w:style w:type="character" w:styleId="FollowedHyperlink">
    <w:name w:val="FollowedHyperlink"/>
    <w:uiPriority w:val="99"/>
    <w:unhideWhenUsed/>
    <w:rsid w:val="005324E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dana.milosevic.STATSRB\Desktop\Saop&#353;tenja\MustraSaopSC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MustraSaopSCir.dot</Template>
  <TotalTime>5</TotalTime>
  <Pages>2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7</cp:revision>
  <cp:lastPrinted>2014-11-18T06:00:00Z</cp:lastPrinted>
  <dcterms:created xsi:type="dcterms:W3CDTF">2017-06-28T11:43:00Z</dcterms:created>
  <dcterms:modified xsi:type="dcterms:W3CDTF">2017-06-30T06:15:00Z</dcterms:modified>
</cp:coreProperties>
</file>