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Стране подружнице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Србији</w:t>
      </w:r>
    </w:p>
    <w:p w:rsidR="002B1237" w:rsidRPr="00532776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201</w:t>
      </w:r>
      <w:bookmarkStart w:id="0" w:name="_GoBack"/>
      <w:bookmarkEnd w:id="0"/>
      <w:r w:rsidR="00601AA5">
        <w:rPr>
          <w:rFonts w:ascii="Arial" w:hAnsi="Arial" w:cs="Arial"/>
          <w:b/>
          <w:color w:val="000000"/>
          <w:sz w:val="22"/>
          <w:szCs w:val="22"/>
          <w:lang w:val="sr-Latn-CS"/>
        </w:rPr>
        <w:t>5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години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532776">
        <w:rPr>
          <w:rFonts w:ascii="Arial" w:hAnsi="Arial" w:cs="Arial"/>
          <w:b/>
          <w:i/>
          <w:sz w:val="22"/>
          <w:szCs w:val="22"/>
          <w:lang w:val="sr-Cyrl-CS"/>
        </w:rPr>
        <w:t>(</w:t>
      </w:r>
      <w:r w:rsidRPr="00532776">
        <w:rPr>
          <w:rFonts w:ascii="Arial" w:hAnsi="Arial" w:cs="Arial"/>
          <w:b/>
          <w:i/>
          <w:sz w:val="22"/>
          <w:szCs w:val="22"/>
          <w:lang w:val="sr-Latn-CS"/>
        </w:rPr>
        <w:t>inward FATS</w:t>
      </w:r>
      <w:r w:rsidRPr="00532776">
        <w:rPr>
          <w:rFonts w:ascii="Arial" w:hAnsi="Arial" w:cs="Arial"/>
          <w:b/>
          <w:i/>
          <w:sz w:val="22"/>
          <w:szCs w:val="22"/>
          <w:lang w:val="sr-Cyrl-CS"/>
        </w:rPr>
        <w:t>)</w:t>
      </w: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Уводне напомене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процесу хармонизовања структурних пословних статистика са европским статистичким стандардима, у Републичком заводу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 статистику од референтне 201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године ради се обрачун основних показатеља </w:t>
      </w:r>
      <w:r w:rsidRPr="00A90336">
        <w:rPr>
          <w:rFonts w:ascii="Arial" w:hAnsi="Arial" w:cs="Arial"/>
          <w:sz w:val="20"/>
          <w:szCs w:val="20"/>
          <w:lang w:val="sr-Cyrl-CS"/>
        </w:rPr>
        <w:t>унутрашње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 статистике о страним подружницама у Републици Србији</w:t>
      </w:r>
      <w:r w:rsidRPr="00A90336">
        <w:rPr>
          <w:rFonts w:ascii="Arial" w:eastAsia="EUAlbertina-Bold-Identity-H" w:hAnsi="Arial" w:cs="Arial"/>
          <w:bCs/>
          <w:sz w:val="20"/>
          <w:szCs w:val="20"/>
          <w:lang w:val="sr-Latn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Latn-CS"/>
        </w:rPr>
        <w:t>inward FATS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Истраживање је дефинисано Уредбом Европске уније </w:t>
      </w:r>
      <w:r w:rsidRPr="00A90336">
        <w:rPr>
          <w:rFonts w:ascii="Arial" w:hAnsi="Arial" w:cs="Arial"/>
          <w:i/>
          <w:color w:val="000000"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REGULATION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EC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No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716/2007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EUROPEAN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PARLIAMENT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COUNCIL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Community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statistics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structure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activity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foreign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affiliates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. У условима глобализације и сталних флуктуација капитала, као и финансијске и економске кризе у светској економији, ови показатељи су све више у фокусу интересовања корисника свих профила.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Ова статистика</w:t>
      </w:r>
      <w:r w:rsidRPr="00A90336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описује делатност пословних субјеката који су резиденти у извештајној држави (Републици Србији), а под контролом су страних предузећа. Реч је о пословним субјектима у којима је учешће страног капитала (једне земље или више земаља) у укупном капиталу 50% и више. Основни циљ ове статистике јесте да покаже учешће ових пословних субјеката у домаћој економији и њихов утицај на њу.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Подаци се прикупљају путем обрасца „Структурно истраживање о пословању привредних друштава“ (СБС 01), што значи да су обухваћена активна привредна друштва и друга правна лица разврстана по делатностима КД 2010 (осим сектора К и О). Део података се преузима из административних извора. Резултати се приказују по делатностима КД (сектори B–J и L–N) и државама у којима је седиште крајње институционалне јединице која контролише страну подружницу. То је институционална јединица која је последња у ланцу </w:t>
      </w:r>
      <w:r w:rsidRPr="00A90336">
        <w:rPr>
          <w:rFonts w:ascii="Arial" w:hAnsi="Arial" w:cs="Arial"/>
          <w:sz w:val="20"/>
          <w:szCs w:val="20"/>
          <w:lang w:val="sr-Cyrl-CS"/>
        </w:rPr>
        <w:t>контроле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, над којом ниједна друга јединица нема контролу. </w:t>
      </w: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Основни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подаци, 201</w:t>
      </w:r>
      <w:r w:rsidR="00601AA5">
        <w:rPr>
          <w:rFonts w:ascii="Arial" w:hAnsi="Arial" w:cs="Arial"/>
          <w:b/>
          <w:color w:val="000000"/>
          <w:sz w:val="20"/>
          <w:szCs w:val="20"/>
        </w:rPr>
        <w:t>5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601AA5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било 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601AA5">
        <w:rPr>
          <w:rFonts w:ascii="Arial" w:hAnsi="Arial" w:cs="Arial"/>
          <w:color w:val="000000"/>
          <w:sz w:val="20"/>
          <w:szCs w:val="20"/>
        </w:rPr>
        <w:t>15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198</w:t>
      </w:r>
      <w:r w:rsidR="00774BA5">
        <w:rPr>
          <w:rFonts w:ascii="Arial" w:hAnsi="Arial" w:cs="Arial"/>
          <w:color w:val="000000"/>
          <w:sz w:val="20"/>
          <w:szCs w:val="20"/>
        </w:rPr>
        <w:t>732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Укупан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промет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остварила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774BA5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2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774BA5">
        <w:rPr>
          <w:rFonts w:ascii="Arial" w:hAnsi="Arial" w:cs="Arial"/>
          <w:color w:val="000000"/>
          <w:sz w:val="20"/>
          <w:szCs w:val="20"/>
        </w:rPr>
        <w:t>76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милијарди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док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факторским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трошковима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774BA5">
        <w:rPr>
          <w:rFonts w:ascii="Arial" w:hAnsi="Arial" w:cs="Arial"/>
          <w:color w:val="000000"/>
          <w:sz w:val="20"/>
          <w:szCs w:val="20"/>
        </w:rPr>
        <w:t>31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774BA5">
        <w:rPr>
          <w:rFonts w:ascii="Arial" w:hAnsi="Arial" w:cs="Arial"/>
          <w:color w:val="000000"/>
          <w:sz w:val="20"/>
          <w:szCs w:val="20"/>
          <w:lang w:val="sr-Cyrl-CS"/>
        </w:rPr>
        <w:t>милијардy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може се истаћи следеће: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26</w:t>
      </w:r>
      <w:r w:rsidR="00307BD8">
        <w:rPr>
          <w:rFonts w:ascii="Arial" w:hAnsi="Arial" w:cs="Arial"/>
          <w:b/>
          <w:color w:val="000000"/>
          <w:sz w:val="20"/>
          <w:szCs w:val="20"/>
        </w:rPr>
        <w:t>15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b/>
          <w:color w:val="000000"/>
          <w:sz w:val="20"/>
          <w:szCs w:val="20"/>
          <w:lang w:val="sr-Cyrl-CS"/>
        </w:rPr>
        <w:t>3,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пословних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субјеката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обухваћених истраживањем СБС 01,</w:t>
      </w:r>
      <w:r w:rsidRPr="00E72A4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(у даљем тексту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: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СБС обухват)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претежном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делатношћу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97058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7058A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705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7058A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Стручним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иновационим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техничким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(12,</w:t>
      </w:r>
      <w:r w:rsidR="0097058A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1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9A568D">
        <w:rPr>
          <w:rFonts w:ascii="Arial" w:hAnsi="Arial" w:cs="Arial"/>
          <w:b/>
          <w:color w:val="000000"/>
          <w:sz w:val="20"/>
          <w:szCs w:val="20"/>
        </w:rPr>
        <w:t>4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A568D">
        <w:rPr>
          <w:rFonts w:ascii="Arial" w:hAnsi="Arial" w:cs="Arial"/>
          <w:color w:val="000000"/>
          <w:sz w:val="20"/>
          <w:szCs w:val="20"/>
          <w:lang w:val="sr-Cyrl-R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9A568D">
        <w:rPr>
          <w:rFonts w:ascii="Arial" w:hAnsi="Arial" w:cs="Arial"/>
          <w:color w:val="000000"/>
          <w:sz w:val="20"/>
          <w:szCs w:val="20"/>
        </w:rPr>
        <w:t>51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Административне и помоћне услужне делатности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4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оствареној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обухвата било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832353"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F7653A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значи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мери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већинским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капиталом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допринос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0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Информисање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комуникације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области</w:t>
      </w:r>
      <w:r w:rsidR="00CA3F2C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прехрамбених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0067D6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0067D6"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 xml:space="preserve"> Производња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кокса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деривата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нафте (</w:t>
      </w:r>
      <w:r w:rsidR="000067D6">
        <w:rPr>
          <w:rFonts w:ascii="Arial" w:hAnsi="Arial" w:cs="Arial"/>
          <w:color w:val="000000"/>
          <w:sz w:val="20"/>
          <w:szCs w:val="20"/>
        </w:rPr>
        <w:t>15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0067D6"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0055BF" w:rsidRDefault="002B1237" w:rsidP="002B123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2B1237" w:rsidRPr="00E152E3" w:rsidRDefault="002B1237" w:rsidP="002B1237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                                                                           </w:t>
      </w:r>
      <w:r w:rsidR="00651480">
        <w:rPr>
          <w:noProof/>
        </w:rPr>
        <w:drawing>
          <wp:inline distT="0" distB="0" distL="0" distR="0" wp14:anchorId="4CF78BAE" wp14:editId="6AF9856B">
            <wp:extent cx="6962775" cy="28098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седиште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крајње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институционалне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јединице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к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онтролише страну подружницу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најважнији резултати су: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FA7F5F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8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%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из земаља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1662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11662D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78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5C7804">
        <w:rPr>
          <w:rFonts w:ascii="Arial" w:hAnsi="Arial" w:cs="Arial"/>
          <w:b/>
          <w:color w:val="000000"/>
          <w:sz w:val="20"/>
          <w:szCs w:val="20"/>
          <w:lang w:val="sr-Latn-CS"/>
        </w:rPr>
        <w:t>6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ангажованих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 земаља које нису чланице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1,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>%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11662D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70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додате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остварене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0,8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6854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2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 обухвата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капитала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девет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пре свега Руске Федерације (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%),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Немачке</w:t>
      </w:r>
      <w:r w:rsidR="00DC7E3A">
        <w:rPr>
          <w:rFonts w:ascii="Arial" w:hAnsi="Arial" w:cs="Arial"/>
          <w:color w:val="000000"/>
          <w:sz w:val="20"/>
          <w:szCs w:val="20"/>
        </w:rPr>
        <w:t xml:space="preserve"> </w:t>
      </w:r>
      <w:r w:rsidR="00DC7E3A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DC7E3A">
        <w:rPr>
          <w:rFonts w:ascii="Arial" w:hAnsi="Arial" w:cs="Arial"/>
          <w:color w:val="000000"/>
          <w:sz w:val="20"/>
          <w:szCs w:val="20"/>
          <w:lang w:val="sr-Latn-CS"/>
        </w:rPr>
        <w:t>3,6</w:t>
      </w:r>
      <w:r w:rsidR="00DC7E3A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DC7E3A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Холандије (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255E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Аустрије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Италије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Француске,</w:t>
      </w:r>
      <w:r w:rsidR="00DC7E3A" w:rsidRP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>Хрватске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Словеније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 xml:space="preserve"> и САД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DC7E3A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A96C71" w:rsidRDefault="002B1237" w:rsidP="002B1237">
      <w:pPr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                                                                                </w:t>
      </w:r>
      <w:r w:rsidR="00FB2B0B">
        <w:rPr>
          <w:noProof/>
        </w:rPr>
        <w:drawing>
          <wp:inline distT="0" distB="0" distL="0" distR="0" wp14:anchorId="6FE8009F" wp14:editId="32C8D946">
            <wp:extent cx="6332220" cy="3028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D92" w:rsidRDefault="00E90D92"/>
    <w:sectPr w:rsidR="00E90D92" w:rsidSect="001F4DDD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EBA"/>
    <w:multiLevelType w:val="hybridMultilevel"/>
    <w:tmpl w:val="0DBA0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7"/>
    <w:rsid w:val="000067D6"/>
    <w:rsid w:val="000B0060"/>
    <w:rsid w:val="0011662D"/>
    <w:rsid w:val="00116A47"/>
    <w:rsid w:val="002B1237"/>
    <w:rsid w:val="002B5849"/>
    <w:rsid w:val="00307BD8"/>
    <w:rsid w:val="003255EF"/>
    <w:rsid w:val="003737F2"/>
    <w:rsid w:val="005C7804"/>
    <w:rsid w:val="00601AA5"/>
    <w:rsid w:val="00651480"/>
    <w:rsid w:val="0071618C"/>
    <w:rsid w:val="00774BA5"/>
    <w:rsid w:val="0082385A"/>
    <w:rsid w:val="00832353"/>
    <w:rsid w:val="0094170B"/>
    <w:rsid w:val="0097058A"/>
    <w:rsid w:val="009A568D"/>
    <w:rsid w:val="00AF2B01"/>
    <w:rsid w:val="00B84F8F"/>
    <w:rsid w:val="00CA3F2C"/>
    <w:rsid w:val="00DA23F8"/>
    <w:rsid w:val="00DC7E3A"/>
    <w:rsid w:val="00E90D92"/>
    <w:rsid w:val="00ED6F02"/>
    <w:rsid w:val="00F07761"/>
    <w:rsid w:val="00F672C9"/>
    <w:rsid w:val="00F7653A"/>
    <w:rsid w:val="00FB2B0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E91D-C748-4BBC-8AA3-D5D3E93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Normal"/>
    <w:rsid w:val="002B123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Arial" panose="020B0604020202020204" pitchFamily="34" charset="0"/>
              </a:defRPr>
            </a:pPr>
            <a:r>
              <a:rPr lang="sr-Cyrl-RS" sz="1000" baseline="0">
                <a:latin typeface="Arial" panose="020B0604020202020204" pitchFamily="34" charset="0"/>
              </a:rPr>
              <a:t>Сектори КД са значајним учешћем страних подружница у додатој вредности сектора, Република Србија, 201</a:t>
            </a:r>
            <a:r>
              <a:rPr lang="en-US" sz="1000" baseline="0">
                <a:latin typeface="Arial" panose="020B0604020202020204" pitchFamily="34" charset="0"/>
              </a:rPr>
              <a:t>5</a:t>
            </a:r>
            <a:endParaRPr lang="sr-Cyrl-RS" sz="1000" baseline="0">
              <a:latin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691459906184496"/>
          <c:y val="6.965174129353234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100477824887275"/>
          <c:y val="0.2508726707669004"/>
          <c:w val="0.46982718815414831"/>
          <c:h val="0.49245352595388386"/>
        </c:manualLayout>
      </c:layout>
      <c:bar3DChart>
        <c:barDir val="bar"/>
        <c:grouping val="percentStacked"/>
        <c:varyColors val="0"/>
        <c:ser>
          <c:idx val="0"/>
          <c:order val="0"/>
          <c:tx>
            <c:v>стране подружнице</c:v>
          </c:tx>
          <c:spPr>
            <a:solidFill>
              <a:srgbClr val="993366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Sheet3!$A$29:$A$37</c:f>
              <c:strCache>
                <c:ptCount val="9"/>
                <c:pt idx="0">
                  <c:v>Грађевинарство</c:v>
                </c:pt>
                <c:pt idx="1">
                  <c:v>Рударство</c:v>
                </c:pt>
                <c:pt idx="2">
                  <c:v>Услуге смештаја и исхране</c:v>
                </c:pt>
                <c:pt idx="3">
                  <c:v>Пословање некретнинама</c:v>
                </c:pt>
                <c:pt idx="4">
                  <c:v>Стручне, научне, иновационе и техничке делатности</c:v>
                </c:pt>
                <c:pt idx="5">
                  <c:v>Трговина на велико и мало и поправка моторних возила</c:v>
                </c:pt>
                <c:pt idx="6">
                  <c:v>Административне и помоћне услужне делатности</c:v>
                </c:pt>
                <c:pt idx="7">
                  <c:v>Информисање и комуникације</c:v>
                </c:pt>
                <c:pt idx="8">
                  <c:v>Прерађивачка индустрија</c:v>
                </c:pt>
              </c:strCache>
            </c:strRef>
          </c:cat>
          <c:val>
            <c:numRef>
              <c:f>Sheet3!$B$29:$B$37</c:f>
              <c:numCache>
                <c:formatCode>General</c:formatCode>
                <c:ptCount val="9"/>
                <c:pt idx="0">
                  <c:v>0.11990208734297775</c:v>
                </c:pt>
                <c:pt idx="1">
                  <c:v>0.12335583645034019</c:v>
                </c:pt>
                <c:pt idx="2">
                  <c:v>0.21528737405888909</c:v>
                </c:pt>
                <c:pt idx="3">
                  <c:v>0.2925170921823409</c:v>
                </c:pt>
                <c:pt idx="4">
                  <c:v>0.30223051540288381</c:v>
                </c:pt>
                <c:pt idx="5">
                  <c:v>0.32475435740034297</c:v>
                </c:pt>
                <c:pt idx="6">
                  <c:v>0.40451048853049165</c:v>
                </c:pt>
                <c:pt idx="7">
                  <c:v>0.44974091642907399</c:v>
                </c:pt>
                <c:pt idx="8">
                  <c:v>0.53224567304517967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E-441E-92B9-8D4E09D22915}"/>
            </c:ext>
          </c:extLst>
        </c:ser>
        <c:ser>
          <c:idx val="1"/>
          <c:order val="1"/>
          <c:tx>
            <c:v>домаћи пословни субјекти</c:v>
          </c:tx>
          <c:spPr>
            <a:solidFill>
              <a:srgbClr val="FFFF99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Sheet3!$A$29:$A$37</c:f>
              <c:strCache>
                <c:ptCount val="9"/>
                <c:pt idx="0">
                  <c:v>Грађевинарство</c:v>
                </c:pt>
                <c:pt idx="1">
                  <c:v>Рударство</c:v>
                </c:pt>
                <c:pt idx="2">
                  <c:v>Услуге смештаја и исхране</c:v>
                </c:pt>
                <c:pt idx="3">
                  <c:v>Пословање некретнинама</c:v>
                </c:pt>
                <c:pt idx="4">
                  <c:v>Стручне, научне, иновационе и техничке делатности</c:v>
                </c:pt>
                <c:pt idx="5">
                  <c:v>Трговина на велико и мало и поправка моторних возила</c:v>
                </c:pt>
                <c:pt idx="6">
                  <c:v>Административне и помоћне услужне делатности</c:v>
                </c:pt>
                <c:pt idx="7">
                  <c:v>Информисање и комуникације</c:v>
                </c:pt>
                <c:pt idx="8">
                  <c:v>Прерађивачка индустрија</c:v>
                </c:pt>
              </c:strCache>
            </c:strRef>
          </c:cat>
          <c:val>
            <c:numRef>
              <c:f>Sheet3!$C$29:$C$37</c:f>
              <c:numCache>
                <c:formatCode>General</c:formatCode>
                <c:ptCount val="9"/>
                <c:pt idx="0">
                  <c:v>0.88009791265702231</c:v>
                </c:pt>
                <c:pt idx="1">
                  <c:v>0.87664416354965979</c:v>
                </c:pt>
                <c:pt idx="2">
                  <c:v>0.78471262594111091</c:v>
                </c:pt>
                <c:pt idx="3">
                  <c:v>0.7074829078176591</c:v>
                </c:pt>
                <c:pt idx="4">
                  <c:v>0.69776948459711619</c:v>
                </c:pt>
                <c:pt idx="5">
                  <c:v>0.67524564259965703</c:v>
                </c:pt>
                <c:pt idx="6">
                  <c:v>0.59548951146950835</c:v>
                </c:pt>
                <c:pt idx="7">
                  <c:v>0.55025908357092601</c:v>
                </c:pt>
                <c:pt idx="8">
                  <c:v>0.46775432695482033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5E-441E-92B9-8D4E09D22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017024"/>
        <c:axId val="74018816"/>
        <c:axId val="0"/>
      </c:bar3DChart>
      <c:catAx>
        <c:axId val="74017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4018816"/>
        <c:crosses val="autoZero"/>
        <c:auto val="1"/>
        <c:lblAlgn val="ctr"/>
        <c:lblOffset val="100"/>
        <c:noMultiLvlLbl val="0"/>
      </c:catAx>
      <c:valAx>
        <c:axId val="7401881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740170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48020804166479647"/>
          <c:y val="0.86519062894915921"/>
          <c:w val="0.40631522021285799"/>
          <c:h val="4.734856291111758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aseline="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Arial" panose="020B0604020202020204" pitchFamily="34" charset="0"/>
              </a:defRPr>
            </a:pPr>
            <a:r>
              <a:rPr lang="sr-Cyrl-RS" sz="1000" baseline="0">
                <a:latin typeface="Arial" panose="020B0604020202020204" pitchFamily="34" charset="0"/>
              </a:rPr>
              <a:t>Државе са највећим учешћем у укупном броју и додатој вредности страних подружница у Републици Србији, 201</a:t>
            </a:r>
            <a:r>
              <a:rPr lang="en-US" sz="1000" baseline="0">
                <a:latin typeface="Arial" panose="020B0604020202020204" pitchFamily="34" charset="0"/>
              </a:rPr>
              <a:t>5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solidFill>
            <a:schemeClr val="tx1"/>
          </a:solidFill>
        </a:ln>
      </c:spPr>
    </c:sideWall>
    <c:backWall>
      <c:thickness val="0"/>
      <c:spPr>
        <a:noFill/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22491193621717787"/>
          <c:y val="0.15829346803347694"/>
          <c:w val="0.68530278480532891"/>
          <c:h val="0.62053582924775907"/>
        </c:manualLayout>
      </c:layout>
      <c:bar3DChart>
        <c:barDir val="bar"/>
        <c:grouping val="clustered"/>
        <c:varyColors val="0"/>
        <c:ser>
          <c:idx val="0"/>
          <c:order val="0"/>
          <c:tx>
            <c:v>број подружница</c:v>
          </c:tx>
          <c:spPr>
            <a:solidFill>
              <a:srgbClr val="FFFF99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Sheet4!$A$96:$A$104</c:f>
              <c:strCache>
                <c:ptCount val="9"/>
                <c:pt idx="0">
                  <c:v>САД</c:v>
                </c:pt>
                <c:pt idx="1">
                  <c:v>Словенија</c:v>
                </c:pt>
                <c:pt idx="2">
                  <c:v>Хрватска</c:v>
                </c:pt>
                <c:pt idx="3">
                  <c:v>Француска</c:v>
                </c:pt>
                <c:pt idx="4">
                  <c:v>Италија</c:v>
                </c:pt>
                <c:pt idx="5">
                  <c:v>Аустрија</c:v>
                </c:pt>
                <c:pt idx="6">
                  <c:v>Холандија</c:v>
                </c:pt>
                <c:pt idx="7">
                  <c:v>Немачка</c:v>
                </c:pt>
                <c:pt idx="8">
                  <c:v>Руска Федерација</c:v>
                </c:pt>
              </c:strCache>
            </c:strRef>
          </c:cat>
          <c:val>
            <c:numRef>
              <c:f>Sheet4!$B$96:$B$104</c:f>
              <c:numCache>
                <c:formatCode>General</c:formatCode>
                <c:ptCount val="9"/>
                <c:pt idx="0">
                  <c:v>2.8680688336520075E-2</c:v>
                </c:pt>
                <c:pt idx="1">
                  <c:v>0.10822179732313575</c:v>
                </c:pt>
                <c:pt idx="2">
                  <c:v>8.4894837476099425E-2</c:v>
                </c:pt>
                <c:pt idx="3">
                  <c:v>2.7151051625239005E-2</c:v>
                </c:pt>
                <c:pt idx="4">
                  <c:v>7.7246653919694069E-2</c:v>
                </c:pt>
                <c:pt idx="5">
                  <c:v>8.948374760994264E-2</c:v>
                </c:pt>
                <c:pt idx="6">
                  <c:v>5.2390057361376675E-2</c:v>
                </c:pt>
                <c:pt idx="7">
                  <c:v>7.3804971319311657E-2</c:v>
                </c:pt>
                <c:pt idx="8">
                  <c:v>2.1414913957934989E-2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2-4759-88C9-4FA3D57C58EC}"/>
            </c:ext>
          </c:extLst>
        </c:ser>
        <c:ser>
          <c:idx val="1"/>
          <c:order val="1"/>
          <c:tx>
            <c:v>додата вредност</c:v>
          </c:tx>
          <c:spPr>
            <a:solidFill>
              <a:srgbClr val="993366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Sheet4!$A$96:$A$104</c:f>
              <c:strCache>
                <c:ptCount val="9"/>
                <c:pt idx="0">
                  <c:v>САД</c:v>
                </c:pt>
                <c:pt idx="1">
                  <c:v>Словенија</c:v>
                </c:pt>
                <c:pt idx="2">
                  <c:v>Хрватска</c:v>
                </c:pt>
                <c:pt idx="3">
                  <c:v>Француска</c:v>
                </c:pt>
                <c:pt idx="4">
                  <c:v>Италија</c:v>
                </c:pt>
                <c:pt idx="5">
                  <c:v>Аустрија</c:v>
                </c:pt>
                <c:pt idx="6">
                  <c:v>Холандија</c:v>
                </c:pt>
                <c:pt idx="7">
                  <c:v>Немачка</c:v>
                </c:pt>
                <c:pt idx="8">
                  <c:v>Руска Федерација</c:v>
                </c:pt>
              </c:strCache>
            </c:strRef>
          </c:cat>
          <c:val>
            <c:numRef>
              <c:f>Sheet4!$C$96:$C$104</c:f>
              <c:numCache>
                <c:formatCode>General</c:formatCode>
                <c:ptCount val="9"/>
                <c:pt idx="0">
                  <c:v>4.5405305822095968E-2</c:v>
                </c:pt>
                <c:pt idx="1">
                  <c:v>4.7765890102927866E-2</c:v>
                </c:pt>
                <c:pt idx="2">
                  <c:v>5.2957376839635327E-2</c:v>
                </c:pt>
                <c:pt idx="3">
                  <c:v>5.8344515379313483E-2</c:v>
                </c:pt>
                <c:pt idx="4">
                  <c:v>7.679557630585597E-2</c:v>
                </c:pt>
                <c:pt idx="5">
                  <c:v>8.0651693078526154E-2</c:v>
                </c:pt>
                <c:pt idx="6">
                  <c:v>0.10998700995659333</c:v>
                </c:pt>
                <c:pt idx="7">
                  <c:v>0.11152867040228713</c:v>
                </c:pt>
                <c:pt idx="8">
                  <c:v>0.12755501909057651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02-4759-88C9-4FA3D57C5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049024"/>
        <c:axId val="74050560"/>
        <c:axId val="0"/>
      </c:bar3DChart>
      <c:catAx>
        <c:axId val="74049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4050560"/>
        <c:crosses val="autoZero"/>
        <c:auto val="1"/>
        <c:lblAlgn val="ctr"/>
        <c:lblOffset val="100"/>
        <c:noMultiLvlLbl val="0"/>
      </c:catAx>
      <c:valAx>
        <c:axId val="7405056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7404902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7470381635508556"/>
          <c:y val="0.88379346287003624"/>
          <c:w val="0.44628029348317028"/>
          <c:h val="6.0031410196032718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aseline="0">
              <a:latin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Mamula</dc:creator>
  <cp:lastModifiedBy>Aleksandra Danilovic</cp:lastModifiedBy>
  <cp:revision>2</cp:revision>
  <dcterms:created xsi:type="dcterms:W3CDTF">2018-03-28T12:48:00Z</dcterms:created>
  <dcterms:modified xsi:type="dcterms:W3CDTF">2018-03-28T12:48:00Z</dcterms:modified>
</cp:coreProperties>
</file>