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BE0D25">
        <w:trPr>
          <w:cantSplit/>
          <w:trHeight w:val="631"/>
          <w:jc w:val="center"/>
        </w:trPr>
        <w:tc>
          <w:tcPr>
            <w:tcW w:w="812" w:type="pct"/>
            <w:tcBorders>
              <w:top w:val="single" w:sz="12" w:space="0" w:color="808080"/>
              <w:left w:val="nil"/>
              <w:bottom w:val="nil"/>
            </w:tcBorders>
            <w:vAlign w:val="center"/>
          </w:tcPr>
          <w:p w:rsidR="002577D1" w:rsidRPr="00BE0D25" w:rsidRDefault="004863EB" w:rsidP="00C149A4">
            <w:pPr>
              <w:rPr>
                <w:rFonts w:cs="Arial"/>
                <w:color w:val="808080"/>
                <w:szCs w:val="20"/>
                <w:lang w:val="sr-Cyrl-CS"/>
              </w:rPr>
            </w:pPr>
            <w:r>
              <w:rPr>
                <w:rFonts w:cs="Arial"/>
                <w:noProof/>
                <w:color w:val="808080"/>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9F33C9">
              <w:rPr>
                <w:rFonts w:cs="Arial"/>
                <w:noProof/>
                <w:color w:val="808080"/>
              </w:rPr>
            </w:r>
            <w:r w:rsidR="009F33C9">
              <w:rPr>
                <w:rFonts w:cs="Arial"/>
                <w:noProof/>
                <w:color w:val="808080"/>
              </w:rPr>
              <w:pict>
                <v:rect id="AutoShape 1" o:spid="_x0000_s1026" style="width:71.5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577D1" w:rsidRPr="00BE0D25" w:rsidRDefault="002577D1" w:rsidP="002338F2">
            <w:pPr>
              <w:rPr>
                <w:rFonts w:cs="Arial"/>
                <w:szCs w:val="20"/>
                <w:lang w:val="sr-Cyrl-CS"/>
              </w:rPr>
            </w:pPr>
            <w:r w:rsidRPr="00BE0D25">
              <w:rPr>
                <w:rFonts w:cs="Arial"/>
                <w:szCs w:val="20"/>
                <w:lang w:val="sr-Cyrl-CS"/>
              </w:rPr>
              <w:t>Република Србија</w:t>
            </w:r>
          </w:p>
          <w:p w:rsidR="002577D1" w:rsidRPr="00BE0D25" w:rsidRDefault="002577D1" w:rsidP="002338F2">
            <w:pPr>
              <w:rPr>
                <w:rFonts w:cs="Arial"/>
                <w:szCs w:val="20"/>
                <w:lang w:val="sr-Cyrl-CS"/>
              </w:rPr>
            </w:pPr>
            <w:r w:rsidRPr="00BE0D25">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2577D1" w:rsidRPr="00BE0D25" w:rsidRDefault="002577D1" w:rsidP="006E7AF4">
            <w:pPr>
              <w:jc w:val="right"/>
              <w:rPr>
                <w:rFonts w:cs="Arial"/>
                <w:b/>
                <w:color w:val="808080"/>
                <w:szCs w:val="20"/>
              </w:rPr>
            </w:pPr>
            <w:r w:rsidRPr="00BE0D25">
              <w:rPr>
                <w:rFonts w:cs="Arial"/>
                <w:szCs w:val="20"/>
                <w:lang w:val="sr-Cyrl-CS"/>
              </w:rPr>
              <w:t>ISSN 0353-9555</w:t>
            </w:r>
          </w:p>
        </w:tc>
      </w:tr>
      <w:tr w:rsidR="002577D1" w:rsidRPr="00BE0D25">
        <w:trPr>
          <w:cantSplit/>
          <w:trHeight w:val="836"/>
          <w:jc w:val="center"/>
        </w:trPr>
        <w:tc>
          <w:tcPr>
            <w:tcW w:w="0" w:type="auto"/>
            <w:gridSpan w:val="2"/>
            <w:tcBorders>
              <w:top w:val="nil"/>
              <w:left w:val="nil"/>
              <w:right w:val="nil"/>
            </w:tcBorders>
            <w:vAlign w:val="center"/>
          </w:tcPr>
          <w:p w:rsidR="002577D1" w:rsidRPr="00BE0D25" w:rsidRDefault="002577D1" w:rsidP="006D50DC">
            <w:pPr>
              <w:rPr>
                <w:rFonts w:cs="Arial"/>
                <w:color w:val="808080"/>
                <w:szCs w:val="20"/>
                <w:lang w:val="sr-Cyrl-CS"/>
              </w:rPr>
            </w:pPr>
            <w:r w:rsidRPr="00BE0D25">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2577D1" w:rsidRPr="00BE0D25" w:rsidRDefault="00030FD2" w:rsidP="002338F2">
            <w:pPr>
              <w:jc w:val="right"/>
              <w:rPr>
                <w:rFonts w:cs="Arial"/>
                <w:b/>
                <w:color w:val="808080"/>
                <w:sz w:val="12"/>
                <w:lang w:val="sr-Latn-CS"/>
              </w:rPr>
            </w:pPr>
            <w:r>
              <w:rPr>
                <w:rFonts w:cs="Arial"/>
                <w:b/>
                <w:bCs/>
                <w:noProof/>
                <w:color w:val="808080"/>
                <w:sz w:val="48"/>
                <w:szCs w:val="48"/>
                <w:lang w:val="sr-Cyrl-CS"/>
              </w:rPr>
              <w:t>ИР10</w:t>
            </w:r>
          </w:p>
        </w:tc>
      </w:tr>
      <w:tr w:rsidR="002577D1" w:rsidRPr="009C4802">
        <w:trPr>
          <w:cantSplit/>
          <w:trHeight w:hRule="exact" w:val="279"/>
          <w:jc w:val="center"/>
        </w:trPr>
        <w:tc>
          <w:tcPr>
            <w:tcW w:w="0" w:type="auto"/>
            <w:gridSpan w:val="2"/>
            <w:tcBorders>
              <w:top w:val="nil"/>
              <w:left w:val="nil"/>
              <w:bottom w:val="nil"/>
              <w:right w:val="nil"/>
            </w:tcBorders>
            <w:vAlign w:val="center"/>
          </w:tcPr>
          <w:p w:rsidR="002577D1" w:rsidRPr="009C4802" w:rsidRDefault="007E0BF1" w:rsidP="00745284">
            <w:pPr>
              <w:rPr>
                <w:rFonts w:cs="Arial"/>
                <w:szCs w:val="20"/>
              </w:rPr>
            </w:pPr>
            <w:r w:rsidRPr="009C4802">
              <w:rPr>
                <w:rFonts w:cs="Arial"/>
                <w:szCs w:val="20"/>
                <w:lang w:val="ru-RU"/>
              </w:rPr>
              <w:t>Б</w:t>
            </w:r>
            <w:r w:rsidR="002577D1" w:rsidRPr="009C4802">
              <w:rPr>
                <w:rFonts w:cs="Arial"/>
                <w:szCs w:val="20"/>
                <w:lang w:val="ru-RU"/>
              </w:rPr>
              <w:t>рој</w:t>
            </w:r>
            <w:r w:rsidR="009B1797">
              <w:rPr>
                <w:rFonts w:cs="Arial"/>
                <w:szCs w:val="20"/>
              </w:rPr>
              <w:t xml:space="preserve"> </w:t>
            </w:r>
            <w:r w:rsidR="00745284">
              <w:rPr>
                <w:rFonts w:cs="Arial"/>
                <w:szCs w:val="20"/>
                <w:lang w:val="sr-Cyrl-RS"/>
              </w:rPr>
              <w:t>133</w:t>
            </w:r>
            <w:r w:rsidR="002577D1" w:rsidRPr="009C4802">
              <w:rPr>
                <w:rFonts w:cs="Arial"/>
                <w:szCs w:val="20"/>
                <w:lang w:val="ru-RU"/>
              </w:rPr>
              <w:t xml:space="preserve"> - год. </w:t>
            </w:r>
            <w:r w:rsidR="002577D1" w:rsidRPr="009C4802">
              <w:rPr>
                <w:rFonts w:cs="Arial"/>
                <w:szCs w:val="20"/>
              </w:rPr>
              <w:t>LX</w:t>
            </w:r>
            <w:r w:rsidR="00122EDE" w:rsidRPr="009C4802">
              <w:rPr>
                <w:rFonts w:cs="Arial"/>
                <w:szCs w:val="20"/>
              </w:rPr>
              <w:t>V</w:t>
            </w:r>
            <w:r w:rsidR="00F018FE">
              <w:rPr>
                <w:rFonts w:cs="Arial"/>
                <w:szCs w:val="20"/>
              </w:rPr>
              <w:t>I</w:t>
            </w:r>
            <w:r w:rsidR="00745284">
              <w:rPr>
                <w:rFonts w:cs="Arial"/>
                <w:szCs w:val="20"/>
                <w:lang w:val="sr-Latn-RS"/>
              </w:rPr>
              <w:t>I</w:t>
            </w:r>
            <w:r w:rsidR="002577D1" w:rsidRPr="009C4802">
              <w:rPr>
                <w:rFonts w:cs="Arial"/>
                <w:szCs w:val="20"/>
                <w:lang w:val="sr-Cyrl-CS"/>
              </w:rPr>
              <w:t>,</w:t>
            </w:r>
            <w:r w:rsidRPr="009C4802">
              <w:rPr>
                <w:rFonts w:cs="Arial"/>
                <w:szCs w:val="20"/>
              </w:rPr>
              <w:t xml:space="preserve"> </w:t>
            </w:r>
            <w:r w:rsidR="00745284">
              <w:rPr>
                <w:rFonts w:cs="Arial"/>
                <w:szCs w:val="20"/>
                <w:lang w:val="sr-Cyrl-RS"/>
              </w:rPr>
              <w:t>30</w:t>
            </w:r>
            <w:r w:rsidR="002577D1" w:rsidRPr="009C4802">
              <w:rPr>
                <w:rFonts w:cs="Arial"/>
                <w:szCs w:val="20"/>
              </w:rPr>
              <w:t>.</w:t>
            </w:r>
            <w:r w:rsidRPr="009C4802">
              <w:rPr>
                <w:rFonts w:cs="Arial"/>
                <w:szCs w:val="20"/>
              </w:rPr>
              <w:t>0</w:t>
            </w:r>
            <w:r w:rsidR="00745284">
              <w:rPr>
                <w:rFonts w:cs="Arial"/>
                <w:szCs w:val="20"/>
                <w:lang w:val="sr-Cyrl-RS"/>
              </w:rPr>
              <w:t>6</w:t>
            </w:r>
            <w:r w:rsidR="00122EDE" w:rsidRPr="009C4802">
              <w:rPr>
                <w:rFonts w:cs="Arial"/>
                <w:szCs w:val="20"/>
              </w:rPr>
              <w:t>.</w:t>
            </w:r>
            <w:r w:rsidRPr="009C4802">
              <w:rPr>
                <w:rFonts w:cs="Arial"/>
                <w:szCs w:val="20"/>
              </w:rPr>
              <w:t>201</w:t>
            </w:r>
            <w:r w:rsidR="00745284">
              <w:rPr>
                <w:rFonts w:cs="Arial"/>
                <w:szCs w:val="20"/>
                <w:lang w:val="sr-Cyrl-RS"/>
              </w:rPr>
              <w:t>7</w:t>
            </w:r>
            <w:r w:rsidR="002577D1" w:rsidRPr="009C4802">
              <w:rPr>
                <w:rFonts w:cs="Arial"/>
                <w:szCs w:val="20"/>
              </w:rPr>
              <w:t>.</w:t>
            </w:r>
          </w:p>
        </w:tc>
        <w:tc>
          <w:tcPr>
            <w:tcW w:w="0" w:type="auto"/>
            <w:tcBorders>
              <w:left w:val="nil"/>
              <w:bottom w:val="nil"/>
              <w:right w:val="nil"/>
            </w:tcBorders>
            <w:shd w:val="clear" w:color="auto" w:fill="auto"/>
            <w:vAlign w:val="center"/>
          </w:tcPr>
          <w:p w:rsidR="002577D1" w:rsidRPr="009C4802" w:rsidRDefault="002577D1" w:rsidP="002338F2">
            <w:pPr>
              <w:jc w:val="right"/>
              <w:rPr>
                <w:rFonts w:cs="Arial"/>
                <w:b/>
                <w:sz w:val="48"/>
                <w:szCs w:val="48"/>
              </w:rPr>
            </w:pPr>
          </w:p>
        </w:tc>
      </w:tr>
      <w:tr w:rsidR="002577D1" w:rsidRPr="009C4802">
        <w:trPr>
          <w:cantSplit/>
          <w:trHeight w:val="411"/>
          <w:jc w:val="center"/>
        </w:trPr>
        <w:tc>
          <w:tcPr>
            <w:tcW w:w="0" w:type="auto"/>
            <w:gridSpan w:val="2"/>
            <w:tcBorders>
              <w:top w:val="nil"/>
              <w:left w:val="nil"/>
              <w:bottom w:val="single" w:sz="12" w:space="0" w:color="808080"/>
              <w:right w:val="nil"/>
            </w:tcBorders>
            <w:vAlign w:val="center"/>
          </w:tcPr>
          <w:p w:rsidR="002577D1" w:rsidRPr="009C4802" w:rsidRDefault="007E0BF1" w:rsidP="002338F2">
            <w:pPr>
              <w:rPr>
                <w:rFonts w:cs="Arial"/>
                <w:b/>
                <w:bCs/>
                <w:sz w:val="24"/>
                <w:lang w:val="sr-Latn-CS"/>
              </w:rPr>
            </w:pPr>
            <w:r w:rsidRPr="009C4802">
              <w:rPr>
                <w:rFonts w:cs="Arial"/>
                <w:b/>
                <w:bCs/>
                <w:sz w:val="24"/>
              </w:rPr>
              <w:t>Статистика науке, технологије и иновација</w:t>
            </w:r>
          </w:p>
        </w:tc>
        <w:tc>
          <w:tcPr>
            <w:tcW w:w="0" w:type="auto"/>
            <w:tcBorders>
              <w:top w:val="nil"/>
              <w:left w:val="nil"/>
              <w:bottom w:val="single" w:sz="12" w:space="0" w:color="808080"/>
              <w:right w:val="nil"/>
            </w:tcBorders>
            <w:vAlign w:val="center"/>
          </w:tcPr>
          <w:p w:rsidR="002577D1" w:rsidRPr="009C4802" w:rsidRDefault="002577D1" w:rsidP="00745284">
            <w:pPr>
              <w:jc w:val="right"/>
              <w:rPr>
                <w:rFonts w:cs="Arial"/>
                <w:b/>
                <w:szCs w:val="20"/>
              </w:rPr>
            </w:pPr>
            <w:r w:rsidRPr="009C4802">
              <w:rPr>
                <w:rFonts w:cs="Arial"/>
                <w:szCs w:val="20"/>
                <w:lang w:val="sr-Cyrl-CS"/>
              </w:rPr>
              <w:t>СРБ</w:t>
            </w:r>
            <w:r w:rsidR="00745284">
              <w:rPr>
                <w:rFonts w:cs="Arial"/>
                <w:szCs w:val="20"/>
                <w:lang w:val="sr-Cyrl-RS"/>
              </w:rPr>
              <w:t>133</w:t>
            </w:r>
            <w:r w:rsidR="00F018FE">
              <w:rPr>
                <w:rFonts w:cs="Arial"/>
                <w:szCs w:val="20"/>
              </w:rPr>
              <w:t xml:space="preserve"> </w:t>
            </w:r>
            <w:r w:rsidR="00122EDE" w:rsidRPr="009C4802">
              <w:rPr>
                <w:rFonts w:cs="Arial"/>
                <w:szCs w:val="20"/>
              </w:rPr>
              <w:t>ИР10</w:t>
            </w:r>
            <w:r w:rsidR="007E0BF1" w:rsidRPr="009C4802">
              <w:rPr>
                <w:rFonts w:cs="Arial"/>
                <w:szCs w:val="20"/>
              </w:rPr>
              <w:t xml:space="preserve"> </w:t>
            </w:r>
            <w:r w:rsidR="00745284">
              <w:rPr>
                <w:rFonts w:cs="Arial"/>
                <w:szCs w:val="20"/>
                <w:lang w:val="sr-Cyrl-RS"/>
              </w:rPr>
              <w:t>3</w:t>
            </w:r>
            <w:r w:rsidR="007E0BF1" w:rsidRPr="009C4802">
              <w:rPr>
                <w:rFonts w:cs="Arial"/>
                <w:szCs w:val="20"/>
              </w:rPr>
              <w:t>00</w:t>
            </w:r>
            <w:r w:rsidR="00745284">
              <w:rPr>
                <w:rFonts w:cs="Arial"/>
                <w:szCs w:val="20"/>
                <w:lang w:val="sr-Cyrl-RS"/>
              </w:rPr>
              <w:t>617</w:t>
            </w:r>
            <w:r w:rsidR="007E0BF1" w:rsidRPr="009C4802">
              <w:rPr>
                <w:rFonts w:cs="Arial"/>
                <w:szCs w:val="20"/>
              </w:rPr>
              <w:t xml:space="preserve">  </w:t>
            </w:r>
          </w:p>
        </w:tc>
      </w:tr>
    </w:tbl>
    <w:p w:rsidR="008C3B72" w:rsidRPr="00BE0D25" w:rsidRDefault="008C3B72" w:rsidP="006A7E8E">
      <w:pPr>
        <w:rPr>
          <w:rFonts w:cs="Arial"/>
          <w:lang w:val="sr-Cyrl-CS"/>
        </w:rPr>
      </w:pPr>
    </w:p>
    <w:p w:rsidR="0082655C" w:rsidRPr="00BE0D25" w:rsidRDefault="00323F7E" w:rsidP="00BE0D25">
      <w:pPr>
        <w:pStyle w:val="Naslovsaopstenja"/>
        <w:outlineLvl w:val="9"/>
        <w:rPr>
          <w:lang w:val="sr-Cyrl-CS"/>
        </w:rPr>
      </w:pPr>
      <w:r w:rsidRPr="00BE0D25">
        <w:rPr>
          <w:lang w:val="sr-Cyrl-CS"/>
        </w:rPr>
        <w:t>Буџетска издвајања за науку</w:t>
      </w:r>
      <w:r w:rsidR="004F5565">
        <w:rPr>
          <w:lang w:val="sr-Cyrl-CS"/>
        </w:rPr>
        <w:t>, 201</w:t>
      </w:r>
      <w:r w:rsidR="00745284">
        <w:rPr>
          <w:lang w:val="sr-Cyrl-CS"/>
        </w:rPr>
        <w:t>6</w:t>
      </w:r>
      <w:r w:rsidR="004F5565">
        <w:t>/</w:t>
      </w:r>
      <w:r w:rsidR="00CA2888" w:rsidRPr="00BE0D25">
        <w:rPr>
          <w:lang w:val="sr-Cyrl-CS"/>
        </w:rPr>
        <w:t>201</w:t>
      </w:r>
      <w:r w:rsidR="00745284">
        <w:rPr>
          <w:lang w:val="sr-Cyrl-CS"/>
        </w:rPr>
        <w:t>7</w:t>
      </w:r>
      <w:r w:rsidR="00CA2888" w:rsidRPr="00BE0D25">
        <w:rPr>
          <w:lang w:val="sr-Cyrl-CS"/>
        </w:rPr>
        <w:t>.</w:t>
      </w:r>
    </w:p>
    <w:p w:rsidR="00266953" w:rsidRPr="00BE0D25" w:rsidRDefault="00CD28CC" w:rsidP="00CD28CC">
      <w:pPr>
        <w:pStyle w:val="Podnaslovsopstenja"/>
        <w:tabs>
          <w:tab w:val="center" w:pos="5102"/>
          <w:tab w:val="left" w:pos="7780"/>
        </w:tabs>
        <w:spacing w:before="240"/>
        <w:ind w:right="-55"/>
        <w:jc w:val="left"/>
        <w:rPr>
          <w:rFonts w:cs="Arial"/>
          <w:lang w:val="sr-Cyrl-CS"/>
        </w:rPr>
      </w:pPr>
      <w:r>
        <w:rPr>
          <w:rFonts w:cs="Arial"/>
          <w:lang w:val="sr-Cyrl-CS"/>
        </w:rPr>
        <w:tab/>
      </w:r>
      <w:r w:rsidR="00122EDE" w:rsidRPr="00BE0D25">
        <w:rPr>
          <w:rFonts w:cs="Arial"/>
          <w:lang w:val="sr-Cyrl-CS"/>
        </w:rPr>
        <w:t>−</w:t>
      </w:r>
      <w:r w:rsidR="00A06762" w:rsidRPr="00BE0D25">
        <w:rPr>
          <w:rFonts w:cs="Arial"/>
          <w:lang w:val="sr-Cyrl-CS"/>
        </w:rPr>
        <w:t>Истраживање и развој</w:t>
      </w:r>
      <w:r w:rsidR="00323F7E" w:rsidRPr="00BE0D25">
        <w:rPr>
          <w:rFonts w:cs="Arial"/>
          <w:lang w:val="sr-Cyrl-CS"/>
        </w:rPr>
        <w:t>−</w:t>
      </w:r>
      <w:r>
        <w:rPr>
          <w:rFonts w:cs="Arial"/>
          <w:lang w:val="sr-Cyrl-CS"/>
        </w:rPr>
        <w:tab/>
      </w:r>
    </w:p>
    <w:p w:rsidR="0082655C" w:rsidRPr="00BE0D25" w:rsidRDefault="0082655C" w:rsidP="006D50DC">
      <w:pPr>
        <w:pStyle w:val="Podnaslovsopstenja"/>
        <w:rPr>
          <w:rFonts w:cs="Arial"/>
          <w:lang w:val="sr-Cyrl-CS"/>
        </w:rPr>
      </w:pPr>
    </w:p>
    <w:p w:rsidR="00BE0D25" w:rsidRPr="002B5D10" w:rsidRDefault="00BE0D25" w:rsidP="00BE0D25">
      <w:pPr>
        <w:pStyle w:val="Texto"/>
        <w:spacing w:before="120" w:after="120"/>
        <w:ind w:left="0" w:firstLine="397"/>
        <w:rPr>
          <w:rStyle w:val="FontStyle123"/>
          <w:rFonts w:ascii="Arial" w:hAnsi="Arial" w:cs="Arial"/>
          <w:bCs w:val="0"/>
          <w:sz w:val="20"/>
          <w:szCs w:val="20"/>
          <w:lang w:val="sr-Cyrl-CS" w:eastAsia="sr-Cyrl-CS"/>
        </w:rPr>
      </w:pPr>
      <w:proofErr w:type="gramStart"/>
      <w:r w:rsidRPr="002B5D10">
        <w:rPr>
          <w:rFonts w:ascii="Arial" w:hAnsi="Arial" w:cs="Arial"/>
        </w:rPr>
        <w:t>Приказани подаци су резултат истраживања о буџетским издвајањима за истраживање и развој (ИР) 201</w:t>
      </w:r>
      <w:r w:rsidR="00745284">
        <w:rPr>
          <w:rFonts w:ascii="Arial" w:hAnsi="Arial" w:cs="Arial"/>
          <w:lang w:val="sr-Cyrl-RS"/>
        </w:rPr>
        <w:t>6</w:t>
      </w:r>
      <w:r w:rsidRPr="002B5D10">
        <w:rPr>
          <w:rFonts w:ascii="Arial" w:hAnsi="Arial" w:cs="Arial"/>
        </w:rPr>
        <w:t>/201</w:t>
      </w:r>
      <w:r w:rsidR="00745284">
        <w:rPr>
          <w:rFonts w:ascii="Arial" w:hAnsi="Arial" w:cs="Arial"/>
          <w:lang w:val="sr-Cyrl-RS"/>
        </w:rPr>
        <w:t>7</w:t>
      </w:r>
      <w:r w:rsidRPr="002B5D10">
        <w:rPr>
          <w:rFonts w:ascii="Arial" w:hAnsi="Arial" w:cs="Arial"/>
        </w:rPr>
        <w:t>.</w:t>
      </w:r>
      <w:proofErr w:type="gramEnd"/>
      <w:r w:rsidR="00CD28CC" w:rsidRPr="002B5D10">
        <w:rPr>
          <w:rFonts w:ascii="Arial" w:hAnsi="Arial" w:cs="Arial"/>
        </w:rPr>
        <w:t xml:space="preserve"> </w:t>
      </w:r>
      <w:proofErr w:type="gramStart"/>
      <w:r w:rsidR="00581DCF" w:rsidRPr="002B5D10">
        <w:rPr>
          <w:rFonts w:ascii="Arial" w:hAnsi="Arial" w:cs="Arial"/>
        </w:rPr>
        <w:t>(БИН)</w:t>
      </w:r>
      <w:r w:rsidRPr="002B5D10">
        <w:rPr>
          <w:rFonts w:ascii="Arial" w:hAnsi="Arial" w:cs="Arial"/>
        </w:rPr>
        <w:t>, спроведеног у 201</w:t>
      </w:r>
      <w:r w:rsidR="00745284">
        <w:rPr>
          <w:rFonts w:ascii="Arial" w:hAnsi="Arial" w:cs="Arial"/>
          <w:lang w:val="sr-Cyrl-RS"/>
        </w:rPr>
        <w:t>7</w:t>
      </w:r>
      <w:r w:rsidRPr="002B5D10">
        <w:rPr>
          <w:rFonts w:ascii="Arial" w:hAnsi="Arial" w:cs="Arial"/>
        </w:rPr>
        <w:t>.</w:t>
      </w:r>
      <w:proofErr w:type="gramEnd"/>
      <w:r w:rsidRPr="002B5D10">
        <w:rPr>
          <w:rFonts w:ascii="Arial" w:hAnsi="Arial" w:cs="Arial"/>
        </w:rPr>
        <w:t xml:space="preserve"> </w:t>
      </w:r>
      <w:proofErr w:type="gramStart"/>
      <w:r w:rsidRPr="002B5D10">
        <w:rPr>
          <w:rFonts w:ascii="Arial" w:hAnsi="Arial" w:cs="Arial"/>
        </w:rPr>
        <w:t>години</w:t>
      </w:r>
      <w:proofErr w:type="gramEnd"/>
      <w:r w:rsidRPr="002B5D10">
        <w:rPr>
          <w:rFonts w:ascii="Arial" w:hAnsi="Arial" w:cs="Arial"/>
        </w:rPr>
        <w:t xml:space="preserve">. </w:t>
      </w:r>
      <w:proofErr w:type="gramStart"/>
      <w:r w:rsidRPr="002B5D10">
        <w:rPr>
          <w:rFonts w:ascii="Arial" w:hAnsi="Arial" w:cs="Arial"/>
        </w:rPr>
        <w:t>И</w:t>
      </w:r>
      <w:r w:rsidRPr="002B5D10">
        <w:rPr>
          <w:rFonts w:ascii="Arial" w:hAnsi="Arial" w:cs="Arial"/>
          <w:lang w:val="ru-RU"/>
        </w:rPr>
        <w:t>страживање се односи на институције које финансирају активност</w:t>
      </w:r>
      <w:r w:rsidRPr="002B5D10">
        <w:rPr>
          <w:rFonts w:ascii="Arial" w:hAnsi="Arial" w:cs="Arial"/>
        </w:rPr>
        <w:t>и</w:t>
      </w:r>
      <w:r w:rsidRPr="002B5D10">
        <w:rPr>
          <w:rFonts w:ascii="Arial" w:hAnsi="Arial" w:cs="Arial"/>
          <w:lang w:val="ru-RU"/>
        </w:rPr>
        <w:t xml:space="preserve"> истраживања и развоја, директне кориснике буџетских средстава, које су током 201</w:t>
      </w:r>
      <w:r w:rsidR="00745284">
        <w:rPr>
          <w:rFonts w:ascii="Arial" w:hAnsi="Arial" w:cs="Arial"/>
          <w:lang w:val="sr-Cyrl-RS"/>
        </w:rPr>
        <w:t>6</w:t>
      </w:r>
      <w:r w:rsidRPr="002B5D10">
        <w:rPr>
          <w:rFonts w:ascii="Arial" w:hAnsi="Arial" w:cs="Arial"/>
          <w:lang w:val="ru-RU"/>
        </w:rPr>
        <w:t>.</w:t>
      </w:r>
      <w:proofErr w:type="gramEnd"/>
      <w:r w:rsidR="0071623E">
        <w:rPr>
          <w:rFonts w:ascii="Arial" w:hAnsi="Arial" w:cs="Arial"/>
          <w:lang w:val="ru-RU"/>
        </w:rPr>
        <w:t xml:space="preserve"> године</w:t>
      </w:r>
      <w:r w:rsidRPr="002B5D10">
        <w:rPr>
          <w:rFonts w:ascii="Arial" w:hAnsi="Arial" w:cs="Arial"/>
          <w:lang w:val="ru-RU"/>
        </w:rPr>
        <w:t xml:space="preserve"> финансирале или је </w:t>
      </w:r>
      <w:r w:rsidR="000524B1" w:rsidRPr="002B5D10">
        <w:rPr>
          <w:rFonts w:ascii="Arial" w:hAnsi="Arial" w:cs="Arial"/>
          <w:lang w:val="ru-RU"/>
        </w:rPr>
        <w:t>у 201</w:t>
      </w:r>
      <w:r w:rsidR="00931BB6">
        <w:rPr>
          <w:rFonts w:ascii="Arial" w:hAnsi="Arial" w:cs="Arial"/>
          <w:lang w:val="sr-Cyrl-RS"/>
        </w:rPr>
        <w:t>7</w:t>
      </w:r>
      <w:r w:rsidR="000524B1" w:rsidRPr="002B5D10">
        <w:rPr>
          <w:rFonts w:ascii="Arial" w:hAnsi="Arial" w:cs="Arial"/>
        </w:rPr>
        <w:t xml:space="preserve">. </w:t>
      </w:r>
      <w:proofErr w:type="gramStart"/>
      <w:r w:rsidR="000524B1" w:rsidRPr="002B5D10">
        <w:rPr>
          <w:rFonts w:ascii="Arial" w:hAnsi="Arial" w:cs="Arial"/>
        </w:rPr>
        <w:t>години</w:t>
      </w:r>
      <w:proofErr w:type="gramEnd"/>
      <w:r w:rsidR="000524B1" w:rsidRPr="002B5D10">
        <w:rPr>
          <w:rFonts w:ascii="Arial" w:hAnsi="Arial" w:cs="Arial"/>
        </w:rPr>
        <w:t xml:space="preserve"> </w:t>
      </w:r>
      <w:r w:rsidRPr="002B5D10">
        <w:rPr>
          <w:rFonts w:ascii="Arial" w:hAnsi="Arial" w:cs="Arial"/>
          <w:lang w:val="ru-RU"/>
        </w:rPr>
        <w:t>требало да финансирају активности истраживања и развоја</w:t>
      </w:r>
      <w:r w:rsidR="0071623E">
        <w:rPr>
          <w:rFonts w:ascii="Arial" w:hAnsi="Arial" w:cs="Arial"/>
          <w:lang w:val="ru-RU"/>
        </w:rPr>
        <w:t xml:space="preserve"> </w:t>
      </w:r>
      <w:r w:rsidRPr="002B5D10">
        <w:rPr>
          <w:rFonts w:ascii="Arial" w:hAnsi="Arial" w:cs="Arial"/>
          <w:lang w:val="ru-RU"/>
        </w:rPr>
        <w:t xml:space="preserve">– директни </w:t>
      </w:r>
      <w:r w:rsidRPr="002B5D10">
        <w:rPr>
          <w:rStyle w:val="FontStyle123"/>
          <w:rFonts w:ascii="Arial" w:hAnsi="Arial" w:cs="Arial"/>
          <w:b w:val="0"/>
          <w:sz w:val="20"/>
          <w:szCs w:val="20"/>
          <w:lang w:val="sr-Cyrl-CS" w:eastAsia="sr-Cyrl-CS"/>
        </w:rPr>
        <w:t>корисници републичког буџета који учествују у расподели финансијских средстава за истраживање и развој у Републици Србији.</w:t>
      </w:r>
    </w:p>
    <w:p w:rsidR="00BE0D25" w:rsidRPr="00B4128E" w:rsidRDefault="00BE0D25" w:rsidP="001A1F86">
      <w:pPr>
        <w:ind w:firstLine="397"/>
        <w:jc w:val="both"/>
        <w:rPr>
          <w:rFonts w:cs="Arial"/>
          <w:szCs w:val="20"/>
          <w:lang w:val="sr-Cyrl-RS"/>
        </w:rPr>
      </w:pPr>
      <w:proofErr w:type="gramStart"/>
      <w:r w:rsidRPr="00B4128E">
        <w:rPr>
          <w:rFonts w:cs="Arial"/>
          <w:szCs w:val="20"/>
        </w:rPr>
        <w:t>У 201</w:t>
      </w:r>
      <w:r w:rsidR="00745284" w:rsidRPr="00B4128E">
        <w:rPr>
          <w:rFonts w:cs="Arial"/>
          <w:szCs w:val="20"/>
          <w:lang w:val="sr-Cyrl-RS"/>
        </w:rPr>
        <w:t>6</w:t>
      </w:r>
      <w:r w:rsidRPr="00B4128E">
        <w:rPr>
          <w:rFonts w:cs="Arial"/>
          <w:szCs w:val="20"/>
        </w:rPr>
        <w:t>.</w:t>
      </w:r>
      <w:proofErr w:type="gramEnd"/>
      <w:r w:rsidRPr="00B4128E">
        <w:rPr>
          <w:rFonts w:cs="Arial"/>
          <w:szCs w:val="20"/>
        </w:rPr>
        <w:t xml:space="preserve"> </w:t>
      </w:r>
      <w:proofErr w:type="gramStart"/>
      <w:r w:rsidRPr="00B4128E">
        <w:rPr>
          <w:rFonts w:cs="Arial"/>
          <w:szCs w:val="20"/>
        </w:rPr>
        <w:t>години</w:t>
      </w:r>
      <w:proofErr w:type="gramEnd"/>
      <w:r w:rsidRPr="00B4128E">
        <w:rPr>
          <w:rFonts w:cs="Arial"/>
          <w:szCs w:val="20"/>
        </w:rPr>
        <w:t xml:space="preserve"> у Републици Србији утрошено је </w:t>
      </w:r>
      <w:r w:rsidR="00EB2073" w:rsidRPr="00B4128E">
        <w:rPr>
          <w:rFonts w:cs="Arial"/>
          <w:szCs w:val="20"/>
        </w:rPr>
        <w:t>16</w:t>
      </w:r>
      <w:r w:rsidR="00EB2073" w:rsidRPr="00B4128E">
        <w:rPr>
          <w:rFonts w:cs="Arial"/>
          <w:szCs w:val="20"/>
          <w:lang w:val="sr-Cyrl-RS"/>
        </w:rPr>
        <w:t>.</w:t>
      </w:r>
      <w:r w:rsidR="00EB2073" w:rsidRPr="00B4128E">
        <w:rPr>
          <w:rFonts w:cs="Arial"/>
          <w:szCs w:val="20"/>
        </w:rPr>
        <w:t>312.531</w:t>
      </w:r>
      <w:r w:rsidR="0071623E" w:rsidRPr="00B4128E">
        <w:rPr>
          <w:rFonts w:cs="Arial"/>
          <w:szCs w:val="20"/>
          <w:lang w:val="sr-Cyrl-RS"/>
        </w:rPr>
        <w:t xml:space="preserve"> </w:t>
      </w:r>
      <w:r w:rsidR="0071623E" w:rsidRPr="00B4128E">
        <w:rPr>
          <w:rFonts w:cs="Arial"/>
          <w:szCs w:val="20"/>
        </w:rPr>
        <w:t>хиљада</w:t>
      </w:r>
      <w:r w:rsidRPr="00B4128E">
        <w:rPr>
          <w:rFonts w:cs="Arial"/>
          <w:szCs w:val="20"/>
        </w:rPr>
        <w:t xml:space="preserve"> РСД буџетских средстава за активности истраживања и</w:t>
      </w:r>
      <w:r w:rsidR="00A7683B" w:rsidRPr="00B4128E">
        <w:rPr>
          <w:rFonts w:cs="Arial"/>
          <w:szCs w:val="20"/>
        </w:rPr>
        <w:t xml:space="preserve"> развоја</w:t>
      </w:r>
      <w:r w:rsidRPr="00B4128E">
        <w:rPr>
          <w:rFonts w:cs="Arial"/>
          <w:szCs w:val="20"/>
        </w:rPr>
        <w:t>.</w:t>
      </w:r>
      <w:r w:rsidR="00007746" w:rsidRPr="00B4128E">
        <w:rPr>
          <w:rFonts w:cs="Arial"/>
          <w:szCs w:val="20"/>
        </w:rPr>
        <w:t xml:space="preserve"> </w:t>
      </w:r>
    </w:p>
    <w:p w:rsidR="00BE0D25" w:rsidRPr="00B4128E" w:rsidRDefault="00BE0D25" w:rsidP="00BE0D25">
      <w:pPr>
        <w:spacing w:before="120" w:after="120"/>
        <w:ind w:firstLine="397"/>
        <w:jc w:val="both"/>
        <w:rPr>
          <w:rFonts w:cs="Arial"/>
          <w:szCs w:val="20"/>
        </w:rPr>
      </w:pPr>
      <w:proofErr w:type="gramStart"/>
      <w:r w:rsidRPr="00B4128E">
        <w:rPr>
          <w:rFonts w:cs="Arial"/>
          <w:szCs w:val="20"/>
        </w:rPr>
        <w:t>Удео укупних буџетских средстава за истраживање и развој у бруто домаћем производу у 201</w:t>
      </w:r>
      <w:r w:rsidR="00745284" w:rsidRPr="00B4128E">
        <w:rPr>
          <w:rFonts w:cs="Arial"/>
          <w:szCs w:val="20"/>
          <w:lang w:val="sr-Cyrl-RS"/>
        </w:rPr>
        <w:t>6</w:t>
      </w:r>
      <w:r w:rsidRPr="00B4128E">
        <w:rPr>
          <w:rFonts w:cs="Arial"/>
          <w:szCs w:val="20"/>
        </w:rPr>
        <w:t>.</w:t>
      </w:r>
      <w:proofErr w:type="gramEnd"/>
      <w:r w:rsidRPr="00B4128E">
        <w:rPr>
          <w:rFonts w:cs="Arial"/>
          <w:szCs w:val="20"/>
        </w:rPr>
        <w:t xml:space="preserve"> </w:t>
      </w:r>
      <w:proofErr w:type="gramStart"/>
      <w:r w:rsidRPr="00B4128E">
        <w:rPr>
          <w:rFonts w:cs="Arial"/>
          <w:szCs w:val="20"/>
        </w:rPr>
        <w:t>години</w:t>
      </w:r>
      <w:proofErr w:type="gramEnd"/>
      <w:r w:rsidRPr="00B4128E">
        <w:rPr>
          <w:rFonts w:cs="Arial"/>
          <w:szCs w:val="20"/>
        </w:rPr>
        <w:t xml:space="preserve"> износио је 0,</w:t>
      </w:r>
      <w:r w:rsidR="00EB2073" w:rsidRPr="00B4128E">
        <w:rPr>
          <w:rFonts w:cs="Arial"/>
          <w:szCs w:val="20"/>
          <w:lang w:val="sr-Cyrl-RS"/>
        </w:rPr>
        <w:t>39</w:t>
      </w:r>
      <w:r w:rsidRPr="00B4128E">
        <w:rPr>
          <w:rFonts w:cs="Arial"/>
          <w:szCs w:val="20"/>
        </w:rPr>
        <w:t>%.</w:t>
      </w:r>
    </w:p>
    <w:p w:rsidR="00BE0D25" w:rsidRPr="002B5D10" w:rsidRDefault="00EB2073" w:rsidP="00BE0D25">
      <w:pPr>
        <w:spacing w:before="120" w:after="120"/>
        <w:ind w:firstLine="397"/>
        <w:jc w:val="both"/>
        <w:rPr>
          <w:rFonts w:cs="Arial"/>
          <w:szCs w:val="20"/>
        </w:rPr>
      </w:pPr>
      <w:r w:rsidRPr="00B4128E">
        <w:rPr>
          <w:rFonts w:cs="Arial"/>
          <w:szCs w:val="20"/>
          <w:lang w:val="sr-Cyrl-RS"/>
        </w:rPr>
        <w:t>Највећи</w:t>
      </w:r>
      <w:r w:rsidR="00743C6B" w:rsidRPr="00B4128E">
        <w:rPr>
          <w:rFonts w:cs="Arial"/>
          <w:szCs w:val="20"/>
        </w:rPr>
        <w:t xml:space="preserve"> проценат</w:t>
      </w:r>
      <w:r w:rsidR="00BE0D25" w:rsidRPr="00B4128E">
        <w:rPr>
          <w:rFonts w:cs="Arial"/>
          <w:szCs w:val="20"/>
        </w:rPr>
        <w:t xml:space="preserve"> буџетских средстава за истраживање и развој у 201</w:t>
      </w:r>
      <w:r w:rsidR="00745284" w:rsidRPr="00B4128E">
        <w:rPr>
          <w:rFonts w:cs="Arial"/>
          <w:szCs w:val="20"/>
          <w:lang w:val="sr-Cyrl-RS"/>
        </w:rPr>
        <w:t>6</w:t>
      </w:r>
      <w:r w:rsidR="00BE0D25" w:rsidRPr="00B4128E">
        <w:rPr>
          <w:rFonts w:cs="Arial"/>
          <w:szCs w:val="20"/>
        </w:rPr>
        <w:t xml:space="preserve">. </w:t>
      </w:r>
      <w:proofErr w:type="gramStart"/>
      <w:r w:rsidR="00BE0D25" w:rsidRPr="00B4128E">
        <w:rPr>
          <w:rFonts w:cs="Arial"/>
          <w:szCs w:val="20"/>
        </w:rPr>
        <w:t>години</w:t>
      </w:r>
      <w:proofErr w:type="gramEnd"/>
      <w:r w:rsidR="00BE0D25" w:rsidRPr="00B4128E">
        <w:rPr>
          <w:rFonts w:cs="Arial"/>
          <w:szCs w:val="20"/>
        </w:rPr>
        <w:t xml:space="preserve"> </w:t>
      </w:r>
      <w:r w:rsidR="00743C6B" w:rsidRPr="00B4128E">
        <w:rPr>
          <w:rFonts w:cs="Arial"/>
          <w:szCs w:val="20"/>
        </w:rPr>
        <w:t>припао</w:t>
      </w:r>
      <w:r w:rsidR="00BE0D25" w:rsidRPr="00B4128E">
        <w:rPr>
          <w:rFonts w:cs="Arial"/>
          <w:szCs w:val="20"/>
        </w:rPr>
        <w:t xml:space="preserve"> </w:t>
      </w:r>
      <w:r w:rsidR="00743C6B" w:rsidRPr="00B4128E">
        <w:rPr>
          <w:rFonts w:cs="Arial"/>
          <w:szCs w:val="20"/>
        </w:rPr>
        <w:t xml:space="preserve">је </w:t>
      </w:r>
      <w:r w:rsidR="00BE0D25" w:rsidRPr="00B4128E">
        <w:rPr>
          <w:rFonts w:cs="Arial"/>
          <w:szCs w:val="20"/>
        </w:rPr>
        <w:t xml:space="preserve">сектору </w:t>
      </w:r>
      <w:r w:rsidR="00743C6B" w:rsidRPr="00B4128E">
        <w:rPr>
          <w:rFonts w:cs="Arial"/>
          <w:szCs w:val="20"/>
        </w:rPr>
        <w:t>државе (4</w:t>
      </w:r>
      <w:r w:rsidRPr="00B4128E">
        <w:rPr>
          <w:rFonts w:cs="Arial"/>
          <w:szCs w:val="20"/>
          <w:lang w:val="sr-Cyrl-RS"/>
        </w:rPr>
        <w:t>7</w:t>
      </w:r>
      <w:r w:rsidR="00743C6B" w:rsidRPr="00B4128E">
        <w:rPr>
          <w:rFonts w:cs="Arial"/>
          <w:szCs w:val="20"/>
        </w:rPr>
        <w:t>,</w:t>
      </w:r>
      <w:r w:rsidRPr="00B4128E">
        <w:rPr>
          <w:rFonts w:cs="Arial"/>
          <w:szCs w:val="20"/>
          <w:lang w:val="sr-Cyrl-RS"/>
        </w:rPr>
        <w:t>5</w:t>
      </w:r>
      <w:r w:rsidR="00BE0D25" w:rsidRPr="00B4128E">
        <w:rPr>
          <w:rFonts w:cs="Arial"/>
          <w:szCs w:val="20"/>
        </w:rPr>
        <w:t>%</w:t>
      </w:r>
      <w:r w:rsidR="00743C6B" w:rsidRPr="00B4128E">
        <w:rPr>
          <w:rFonts w:cs="Arial"/>
          <w:szCs w:val="20"/>
        </w:rPr>
        <w:t>)</w:t>
      </w:r>
      <w:r w:rsidRPr="00B4128E">
        <w:rPr>
          <w:rFonts w:cs="Arial"/>
          <w:szCs w:val="20"/>
          <w:lang w:val="sr-Cyrl-RS"/>
        </w:rPr>
        <w:t>, а затим сектору високог образовања (36</w:t>
      </w:r>
      <w:r>
        <w:rPr>
          <w:rFonts w:cs="Arial"/>
          <w:szCs w:val="20"/>
          <w:lang w:val="sr-Cyrl-RS"/>
        </w:rPr>
        <w:t>,9%)</w:t>
      </w:r>
      <w:r w:rsidR="00743C6B" w:rsidRPr="002B5D10">
        <w:rPr>
          <w:rFonts w:cs="Arial"/>
          <w:szCs w:val="20"/>
        </w:rPr>
        <w:t xml:space="preserve">. </w:t>
      </w:r>
      <w:proofErr w:type="gramStart"/>
      <w:r w:rsidR="00743C6B" w:rsidRPr="002B5D10">
        <w:rPr>
          <w:rFonts w:cs="Arial"/>
          <w:szCs w:val="20"/>
        </w:rPr>
        <w:t>У укупним средствима за финансирање високог образовања</w:t>
      </w:r>
      <w:r w:rsidR="00FF4150" w:rsidRPr="002B5D10">
        <w:rPr>
          <w:rFonts w:cs="Arial"/>
          <w:szCs w:val="20"/>
        </w:rPr>
        <w:t xml:space="preserve">, средства од међународних организација учествују са око </w:t>
      </w:r>
      <w:r>
        <w:rPr>
          <w:rFonts w:cs="Arial"/>
          <w:szCs w:val="20"/>
          <w:lang w:val="sr-Cyrl-RS"/>
        </w:rPr>
        <w:t>10</w:t>
      </w:r>
      <w:r w:rsidR="00FF4150" w:rsidRPr="002B5D10">
        <w:rPr>
          <w:rFonts w:cs="Arial"/>
          <w:szCs w:val="20"/>
        </w:rPr>
        <w:t>%.</w:t>
      </w:r>
      <w:proofErr w:type="gramEnd"/>
      <w:r w:rsidR="00FF4150" w:rsidRPr="002B5D10">
        <w:rPr>
          <w:rFonts w:cs="Arial"/>
          <w:szCs w:val="20"/>
        </w:rPr>
        <w:t xml:space="preserve"> </w:t>
      </w:r>
      <w:r w:rsidR="00743C6B" w:rsidRPr="002B5D10">
        <w:rPr>
          <w:rFonts w:cs="Arial"/>
          <w:szCs w:val="20"/>
        </w:rPr>
        <w:t>Н</w:t>
      </w:r>
      <w:r w:rsidR="00BE0D25" w:rsidRPr="002B5D10">
        <w:rPr>
          <w:rFonts w:cs="Arial"/>
          <w:szCs w:val="20"/>
        </w:rPr>
        <w:t>ефинансијски (пословни) сектор</w:t>
      </w:r>
      <w:r>
        <w:rPr>
          <w:rFonts w:cs="Arial"/>
          <w:szCs w:val="20"/>
        </w:rPr>
        <w:t xml:space="preserve"> учествује са </w:t>
      </w:r>
      <w:r w:rsidRPr="00B4128E">
        <w:rPr>
          <w:rFonts w:cs="Arial"/>
          <w:szCs w:val="20"/>
          <w:lang w:val="sr-Cyrl-RS"/>
        </w:rPr>
        <w:t xml:space="preserve">око </w:t>
      </w:r>
      <w:r w:rsidRPr="00B4128E">
        <w:rPr>
          <w:rFonts w:cs="Arial"/>
          <w:szCs w:val="20"/>
        </w:rPr>
        <w:t>4</w:t>
      </w:r>
      <w:r w:rsidR="00743C6B" w:rsidRPr="00B4128E">
        <w:rPr>
          <w:rFonts w:cs="Arial"/>
          <w:szCs w:val="20"/>
        </w:rPr>
        <w:t>%</w:t>
      </w:r>
      <w:r w:rsidR="00BE0D25" w:rsidRPr="00B4128E">
        <w:rPr>
          <w:rFonts w:cs="Arial"/>
          <w:szCs w:val="20"/>
        </w:rPr>
        <w:t>,</w:t>
      </w:r>
      <w:r w:rsidR="00BE0D25" w:rsidRPr="002B5D10">
        <w:rPr>
          <w:rFonts w:cs="Arial"/>
          <w:szCs w:val="20"/>
        </w:rPr>
        <w:t xml:space="preserve"> док</w:t>
      </w:r>
      <w:r w:rsidR="00743C6B" w:rsidRPr="002B5D10">
        <w:rPr>
          <w:rFonts w:cs="Arial"/>
          <w:szCs w:val="20"/>
        </w:rPr>
        <w:t xml:space="preserve"> је</w:t>
      </w:r>
      <w:r w:rsidR="00BE0D25" w:rsidRPr="002B5D10">
        <w:rPr>
          <w:rFonts w:cs="Arial"/>
          <w:szCs w:val="20"/>
        </w:rPr>
        <w:t xml:space="preserve"> за непрофитни сектор било намењен</w:t>
      </w:r>
      <w:r w:rsidR="00743C6B" w:rsidRPr="002B5D10">
        <w:rPr>
          <w:rFonts w:cs="Arial"/>
          <w:szCs w:val="20"/>
        </w:rPr>
        <w:t>о само 1</w:t>
      </w:r>
      <w:proofErr w:type="gramStart"/>
      <w:r w:rsidR="00743C6B" w:rsidRPr="002B5D10">
        <w:rPr>
          <w:rFonts w:cs="Arial"/>
          <w:szCs w:val="20"/>
        </w:rPr>
        <w:t>,</w:t>
      </w:r>
      <w:r>
        <w:rPr>
          <w:rFonts w:cs="Arial"/>
          <w:szCs w:val="20"/>
          <w:lang w:val="sr-Cyrl-RS"/>
        </w:rPr>
        <w:t>4</w:t>
      </w:r>
      <w:proofErr w:type="gramEnd"/>
      <w:r w:rsidR="00743C6B" w:rsidRPr="002B5D10">
        <w:rPr>
          <w:rFonts w:cs="Arial"/>
          <w:szCs w:val="20"/>
        </w:rPr>
        <w:t>% средстава</w:t>
      </w:r>
      <w:r w:rsidR="00BE0D25" w:rsidRPr="002B5D10">
        <w:rPr>
          <w:rFonts w:cs="Arial"/>
          <w:szCs w:val="20"/>
        </w:rPr>
        <w:t>.</w:t>
      </w:r>
    </w:p>
    <w:p w:rsidR="00BE0D25" w:rsidRPr="002B5D10" w:rsidRDefault="00BE0D25" w:rsidP="00BE0D25">
      <w:pPr>
        <w:spacing w:before="120" w:after="120"/>
        <w:ind w:firstLine="397"/>
        <w:jc w:val="both"/>
        <w:rPr>
          <w:rFonts w:cs="Arial"/>
          <w:szCs w:val="20"/>
        </w:rPr>
      </w:pPr>
      <w:proofErr w:type="gramStart"/>
      <w:r w:rsidRPr="002B5D10">
        <w:rPr>
          <w:rFonts w:cs="Arial"/>
          <w:szCs w:val="20"/>
        </w:rPr>
        <w:t>Посматрано према друштвено-економским циљевима, највише буџетских средстава опредељених за истраживање и развој у 201</w:t>
      </w:r>
      <w:r w:rsidR="00745284">
        <w:rPr>
          <w:rFonts w:cs="Arial"/>
          <w:szCs w:val="20"/>
          <w:lang w:val="sr-Cyrl-RS"/>
        </w:rPr>
        <w:t>6</w:t>
      </w:r>
      <w:r w:rsidRPr="002B5D10">
        <w:rPr>
          <w:rFonts w:cs="Arial"/>
          <w:szCs w:val="20"/>
        </w:rPr>
        <w:t>.</w:t>
      </w:r>
      <w:proofErr w:type="gramEnd"/>
      <w:r w:rsidRPr="002B5D10">
        <w:rPr>
          <w:rFonts w:cs="Arial"/>
          <w:szCs w:val="20"/>
        </w:rPr>
        <w:t xml:space="preserve"> </w:t>
      </w:r>
      <w:proofErr w:type="gramStart"/>
      <w:r w:rsidRPr="002B5D10">
        <w:rPr>
          <w:rFonts w:cs="Arial"/>
          <w:szCs w:val="20"/>
        </w:rPr>
        <w:t>било</w:t>
      </w:r>
      <w:proofErr w:type="gramEnd"/>
      <w:r w:rsidRPr="002B5D10">
        <w:rPr>
          <w:rFonts w:cs="Arial"/>
          <w:szCs w:val="20"/>
        </w:rPr>
        <w:t xml:space="preserve"> је утрошено за циљ</w:t>
      </w:r>
      <w:r w:rsidR="00195E38" w:rsidRPr="002B5D10">
        <w:rPr>
          <w:rFonts w:cs="Arial"/>
          <w:szCs w:val="20"/>
        </w:rPr>
        <w:t xml:space="preserve">: Опште унапређење знања - </w:t>
      </w:r>
      <w:r w:rsidRPr="002B5D10">
        <w:rPr>
          <w:rFonts w:cs="Arial"/>
          <w:szCs w:val="20"/>
        </w:rPr>
        <w:t>Истраживање и развој финансирани из општих фондова универзитета - ГУФ (</w:t>
      </w:r>
      <w:r w:rsidR="00642FCE" w:rsidRPr="002B5D10">
        <w:rPr>
          <w:rFonts w:cs="Arial"/>
          <w:szCs w:val="20"/>
        </w:rPr>
        <w:t>4</w:t>
      </w:r>
      <w:r w:rsidR="00EB2073">
        <w:rPr>
          <w:rFonts w:cs="Arial"/>
          <w:szCs w:val="20"/>
          <w:lang w:val="sr-Cyrl-RS"/>
        </w:rPr>
        <w:t>5</w:t>
      </w:r>
      <w:r w:rsidRPr="002B5D10">
        <w:rPr>
          <w:rFonts w:cs="Arial"/>
          <w:szCs w:val="20"/>
        </w:rPr>
        <w:t>,</w:t>
      </w:r>
      <w:r w:rsidR="00EB2073">
        <w:rPr>
          <w:rFonts w:cs="Arial"/>
          <w:szCs w:val="20"/>
          <w:lang w:val="sr-Cyrl-RS"/>
        </w:rPr>
        <w:t>28</w:t>
      </w:r>
      <w:r w:rsidRPr="002B5D10">
        <w:rPr>
          <w:rFonts w:cs="Arial"/>
          <w:szCs w:val="20"/>
        </w:rPr>
        <w:t>%). За следећи циљ</w:t>
      </w:r>
      <w:r w:rsidR="00195E38" w:rsidRPr="002B5D10">
        <w:rPr>
          <w:rFonts w:cs="Arial"/>
          <w:szCs w:val="20"/>
        </w:rPr>
        <w:t>:</w:t>
      </w:r>
      <w:r w:rsidRPr="002B5D10">
        <w:rPr>
          <w:rFonts w:cs="Arial"/>
          <w:szCs w:val="20"/>
        </w:rPr>
        <w:t xml:space="preserve"> </w:t>
      </w:r>
      <w:r w:rsidR="00642FCE" w:rsidRPr="002B5D10">
        <w:rPr>
          <w:rFonts w:cs="Arial"/>
          <w:szCs w:val="20"/>
        </w:rPr>
        <w:t>Индустријска прооизводња и технологија</w:t>
      </w:r>
      <w:r w:rsidRPr="002B5D10">
        <w:rPr>
          <w:rFonts w:cs="Arial"/>
          <w:szCs w:val="20"/>
        </w:rPr>
        <w:t xml:space="preserve"> утрошрно је</w:t>
      </w:r>
      <w:r w:rsidR="00D5306D" w:rsidRPr="002B5D10">
        <w:rPr>
          <w:rFonts w:cs="Arial"/>
          <w:szCs w:val="20"/>
        </w:rPr>
        <w:t xml:space="preserve"> </w:t>
      </w:r>
      <w:r w:rsidRPr="002B5D10">
        <w:rPr>
          <w:rFonts w:cs="Arial"/>
          <w:szCs w:val="20"/>
        </w:rPr>
        <w:t>1</w:t>
      </w:r>
      <w:r w:rsidR="00EB2073">
        <w:rPr>
          <w:rFonts w:cs="Arial"/>
          <w:szCs w:val="20"/>
          <w:lang w:val="sr-Cyrl-RS"/>
        </w:rPr>
        <w:t>5</w:t>
      </w:r>
      <w:proofErr w:type="gramStart"/>
      <w:r w:rsidRPr="002B5D10">
        <w:rPr>
          <w:rFonts w:cs="Arial"/>
          <w:szCs w:val="20"/>
        </w:rPr>
        <w:t>,</w:t>
      </w:r>
      <w:r w:rsidR="00EB2073">
        <w:rPr>
          <w:rFonts w:cs="Arial"/>
          <w:szCs w:val="20"/>
          <w:lang w:val="sr-Cyrl-RS"/>
        </w:rPr>
        <w:t>32</w:t>
      </w:r>
      <w:proofErr w:type="gramEnd"/>
      <w:r w:rsidRPr="002B5D10">
        <w:rPr>
          <w:rFonts w:cs="Arial"/>
          <w:szCs w:val="20"/>
        </w:rPr>
        <w:t>%, а најмање средстава је било утрошено за циљ</w:t>
      </w:r>
      <w:r w:rsidR="00195E38" w:rsidRPr="002B5D10">
        <w:rPr>
          <w:rFonts w:cs="Arial"/>
          <w:szCs w:val="20"/>
        </w:rPr>
        <w:t>:</w:t>
      </w:r>
      <w:r w:rsidRPr="002B5D10">
        <w:rPr>
          <w:rFonts w:cs="Arial"/>
          <w:szCs w:val="20"/>
        </w:rPr>
        <w:t xml:space="preserve"> </w:t>
      </w:r>
      <w:r w:rsidR="00642FCE" w:rsidRPr="002B5D10">
        <w:rPr>
          <w:rFonts w:cs="Arial"/>
          <w:szCs w:val="20"/>
        </w:rPr>
        <w:t>Истраживање и експлоатација свемира</w:t>
      </w:r>
      <w:r w:rsidRPr="002B5D10">
        <w:rPr>
          <w:rFonts w:cs="Arial"/>
          <w:szCs w:val="20"/>
        </w:rPr>
        <w:t xml:space="preserve"> (0,</w:t>
      </w:r>
      <w:r w:rsidR="00EB2073">
        <w:rPr>
          <w:rFonts w:cs="Arial"/>
          <w:szCs w:val="20"/>
          <w:lang w:val="sr-Cyrl-RS"/>
        </w:rPr>
        <w:t>08</w:t>
      </w:r>
      <w:r w:rsidRPr="002B5D10">
        <w:rPr>
          <w:rFonts w:cs="Arial"/>
          <w:szCs w:val="20"/>
        </w:rPr>
        <w:t>%).</w:t>
      </w:r>
    </w:p>
    <w:p w:rsidR="00BE0D25" w:rsidRPr="002B5D10" w:rsidRDefault="00BE0D25" w:rsidP="007E26EA">
      <w:pPr>
        <w:spacing w:before="120" w:after="120"/>
        <w:ind w:firstLine="397"/>
        <w:jc w:val="both"/>
        <w:rPr>
          <w:rFonts w:cs="Arial"/>
          <w:szCs w:val="20"/>
        </w:rPr>
      </w:pPr>
      <w:proofErr w:type="gramStart"/>
      <w:r w:rsidRPr="002B5D10">
        <w:rPr>
          <w:rFonts w:cs="Arial"/>
          <w:szCs w:val="20"/>
        </w:rPr>
        <w:t xml:space="preserve">Средства која су планирана </w:t>
      </w:r>
      <w:r w:rsidR="00737971" w:rsidRPr="002B5D10">
        <w:rPr>
          <w:rFonts w:cs="Arial"/>
          <w:szCs w:val="20"/>
        </w:rPr>
        <w:t xml:space="preserve">за ИР </w:t>
      </w:r>
      <w:r w:rsidRPr="002B5D10">
        <w:rPr>
          <w:rFonts w:cs="Arial"/>
          <w:szCs w:val="20"/>
        </w:rPr>
        <w:t>буџетом за 201</w:t>
      </w:r>
      <w:r w:rsidR="00745284">
        <w:rPr>
          <w:rFonts w:cs="Arial"/>
          <w:szCs w:val="20"/>
          <w:lang w:val="sr-Cyrl-RS"/>
        </w:rPr>
        <w:t>7</w:t>
      </w:r>
      <w:r w:rsidRPr="002B5D10">
        <w:rPr>
          <w:rFonts w:cs="Arial"/>
          <w:szCs w:val="20"/>
        </w:rPr>
        <w:t>.</w:t>
      </w:r>
      <w:proofErr w:type="gramEnd"/>
      <w:r w:rsidRPr="002B5D10">
        <w:rPr>
          <w:rFonts w:cs="Arial"/>
          <w:szCs w:val="20"/>
        </w:rPr>
        <w:t xml:space="preserve"> </w:t>
      </w:r>
      <w:proofErr w:type="gramStart"/>
      <w:r w:rsidRPr="002B5D10">
        <w:rPr>
          <w:rFonts w:cs="Arial"/>
          <w:szCs w:val="20"/>
        </w:rPr>
        <w:t>годину</w:t>
      </w:r>
      <w:proofErr w:type="gramEnd"/>
      <w:r w:rsidRPr="002B5D10">
        <w:rPr>
          <w:rFonts w:cs="Arial"/>
          <w:szCs w:val="20"/>
        </w:rPr>
        <w:t xml:space="preserve"> (пре ребаланса буџета) износила су </w:t>
      </w:r>
      <w:r w:rsidR="00EB2073" w:rsidRPr="00315A3D">
        <w:rPr>
          <w:rFonts w:cs="Arial"/>
          <w:szCs w:val="20"/>
        </w:rPr>
        <w:t>13</w:t>
      </w:r>
      <w:r w:rsidR="00451125" w:rsidRPr="00315A3D">
        <w:rPr>
          <w:rFonts w:cs="Arial"/>
          <w:szCs w:val="20"/>
          <w:lang w:val="sr-Cyrl-RS"/>
        </w:rPr>
        <w:t>.</w:t>
      </w:r>
      <w:r w:rsidR="003226E8">
        <w:rPr>
          <w:rFonts w:cs="Arial"/>
          <w:szCs w:val="20"/>
        </w:rPr>
        <w:t>4</w:t>
      </w:r>
      <w:r w:rsidR="00EB2073" w:rsidRPr="00315A3D">
        <w:rPr>
          <w:rFonts w:cs="Arial"/>
          <w:szCs w:val="20"/>
        </w:rPr>
        <w:t>23</w:t>
      </w:r>
      <w:r w:rsidR="00451125" w:rsidRPr="00315A3D">
        <w:rPr>
          <w:rFonts w:cs="Arial"/>
          <w:szCs w:val="20"/>
          <w:lang w:val="sr-Cyrl-RS"/>
        </w:rPr>
        <w:t>.</w:t>
      </w:r>
      <w:r w:rsidR="00EB2073" w:rsidRPr="00315A3D">
        <w:rPr>
          <w:rFonts w:cs="Arial"/>
          <w:szCs w:val="20"/>
        </w:rPr>
        <w:t>91</w:t>
      </w:r>
      <w:r w:rsidR="003226E8">
        <w:rPr>
          <w:rFonts w:cs="Arial"/>
          <w:szCs w:val="20"/>
        </w:rPr>
        <w:t>3</w:t>
      </w:r>
      <w:r w:rsidR="00EB2073" w:rsidRPr="00315A3D">
        <w:rPr>
          <w:rFonts w:cs="Arial"/>
          <w:szCs w:val="20"/>
          <w:lang w:val="sr-Cyrl-RS"/>
        </w:rPr>
        <w:t xml:space="preserve"> </w:t>
      </w:r>
      <w:r w:rsidRPr="00315A3D">
        <w:rPr>
          <w:rFonts w:cs="Arial"/>
          <w:szCs w:val="20"/>
        </w:rPr>
        <w:t>хиљ.</w:t>
      </w:r>
      <w:r w:rsidR="00B803F7">
        <w:rPr>
          <w:rFonts w:cs="Arial"/>
          <w:color w:val="00B050"/>
          <w:szCs w:val="20"/>
          <w:lang w:val="sr-Cyrl-RS"/>
        </w:rPr>
        <w:t xml:space="preserve"> </w:t>
      </w:r>
      <w:proofErr w:type="gramStart"/>
      <w:r w:rsidRPr="002B5D10">
        <w:rPr>
          <w:rFonts w:cs="Arial"/>
          <w:szCs w:val="20"/>
        </w:rPr>
        <w:t>РСД.</w:t>
      </w:r>
      <w:proofErr w:type="gramEnd"/>
      <w:r w:rsidRPr="002B5D10">
        <w:rPr>
          <w:rFonts w:cs="Arial"/>
          <w:szCs w:val="20"/>
        </w:rPr>
        <w:t xml:space="preserve"> Највише средстава, 4</w:t>
      </w:r>
      <w:r w:rsidR="003226E8">
        <w:rPr>
          <w:rFonts w:cs="Arial"/>
          <w:szCs w:val="20"/>
        </w:rPr>
        <w:t>3</w:t>
      </w:r>
      <w:proofErr w:type="gramStart"/>
      <w:r w:rsidRPr="002B5D10">
        <w:rPr>
          <w:rFonts w:cs="Arial"/>
          <w:szCs w:val="20"/>
        </w:rPr>
        <w:t>,</w:t>
      </w:r>
      <w:r w:rsidR="003226E8">
        <w:rPr>
          <w:rFonts w:cs="Arial"/>
          <w:szCs w:val="20"/>
        </w:rPr>
        <w:t>4</w:t>
      </w:r>
      <w:proofErr w:type="gramEnd"/>
      <w:r w:rsidRPr="002B5D10">
        <w:rPr>
          <w:rFonts w:cs="Arial"/>
          <w:szCs w:val="20"/>
        </w:rPr>
        <w:t>%, планирано је за Опште унапређење знања: ИР финансирани из општих фондова универзитета.</w:t>
      </w:r>
    </w:p>
    <w:p w:rsidR="00122EDE" w:rsidRPr="009B1797" w:rsidRDefault="00122EDE" w:rsidP="00BE0D25">
      <w:pPr>
        <w:spacing w:before="120" w:after="120"/>
        <w:ind w:firstLine="397"/>
        <w:jc w:val="both"/>
        <w:rPr>
          <w:rFonts w:cs="Arial"/>
          <w:sz w:val="14"/>
          <w:szCs w:val="14"/>
        </w:rPr>
      </w:pPr>
    </w:p>
    <w:p w:rsidR="00A7683B" w:rsidRPr="009B1797" w:rsidRDefault="00A7683B" w:rsidP="00122EDE">
      <w:pPr>
        <w:spacing w:before="120" w:after="120"/>
        <w:jc w:val="center"/>
        <w:rPr>
          <w:rFonts w:cs="Arial"/>
          <w:b/>
          <w:color w:val="000000"/>
          <w:sz w:val="14"/>
          <w:szCs w:val="14"/>
          <w:lang w:val="sr-Cyrl-RS"/>
        </w:rPr>
      </w:pPr>
    </w:p>
    <w:p w:rsidR="00C81710" w:rsidRDefault="00626D5C" w:rsidP="00122EDE">
      <w:pPr>
        <w:spacing w:before="120" w:after="120"/>
        <w:jc w:val="center"/>
        <w:rPr>
          <w:rFonts w:cs="Arial"/>
          <w:b/>
          <w:color w:val="000000"/>
          <w:sz w:val="18"/>
          <w:szCs w:val="18"/>
        </w:rPr>
      </w:pPr>
      <w:proofErr w:type="gramStart"/>
      <w:r>
        <w:rPr>
          <w:rFonts w:cs="Arial"/>
          <w:b/>
          <w:color w:val="000000"/>
          <w:sz w:val="18"/>
          <w:szCs w:val="18"/>
        </w:rPr>
        <w:t>Г</w:t>
      </w:r>
      <w:r w:rsidR="009B1797">
        <w:rPr>
          <w:rFonts w:cs="Arial"/>
          <w:b/>
          <w:color w:val="000000"/>
          <w:sz w:val="18"/>
          <w:szCs w:val="18"/>
          <w:lang w:val="sr-Cyrl-RS"/>
        </w:rPr>
        <w:t xml:space="preserve">раф. </w:t>
      </w:r>
      <w:r w:rsidR="00BE0D25">
        <w:rPr>
          <w:rFonts w:cs="Arial"/>
          <w:b/>
          <w:color w:val="000000"/>
          <w:sz w:val="18"/>
          <w:szCs w:val="18"/>
        </w:rPr>
        <w:t>1</w:t>
      </w:r>
      <w:r w:rsidR="00BE0D25" w:rsidRPr="00BE0D25">
        <w:rPr>
          <w:rFonts w:cs="Arial"/>
          <w:b/>
          <w:color w:val="000000"/>
          <w:sz w:val="18"/>
          <w:szCs w:val="18"/>
        </w:rPr>
        <w:t>.</w:t>
      </w:r>
      <w:proofErr w:type="gramEnd"/>
      <w:r w:rsidR="00BE0D25" w:rsidRPr="00BE0D25">
        <w:rPr>
          <w:rFonts w:cs="Arial"/>
          <w:b/>
          <w:color w:val="000000"/>
          <w:sz w:val="18"/>
          <w:szCs w:val="18"/>
        </w:rPr>
        <w:t xml:space="preserve"> Учешће сектора у укупним издацима (%)</w:t>
      </w:r>
    </w:p>
    <w:p w:rsidR="00C81710" w:rsidRPr="00C81710" w:rsidRDefault="00C81710" w:rsidP="00C81710">
      <w:pPr>
        <w:rPr>
          <w:rFonts w:cs="Arial"/>
          <w:sz w:val="18"/>
          <w:szCs w:val="18"/>
        </w:rPr>
      </w:pPr>
    </w:p>
    <w:p w:rsidR="00837EA3" w:rsidRDefault="00443176" w:rsidP="00C81710">
      <w:pPr>
        <w:rPr>
          <w:rFonts w:cs="Arial"/>
          <w:sz w:val="18"/>
          <w:szCs w:val="18"/>
          <w:lang w:val="sr-Latn-RS"/>
        </w:rPr>
      </w:pPr>
      <w:r>
        <w:rPr>
          <w:rFonts w:cs="Arial"/>
          <w:sz w:val="18"/>
          <w:szCs w:val="18"/>
          <w:lang w:val="sr-Latn-RS"/>
        </w:rPr>
        <w:t xml:space="preserve">           </w:t>
      </w:r>
    </w:p>
    <w:p w:rsidR="00C81710" w:rsidRPr="00443176" w:rsidRDefault="00443176" w:rsidP="00C81710">
      <w:pPr>
        <w:rPr>
          <w:rFonts w:cs="Arial"/>
          <w:sz w:val="18"/>
          <w:szCs w:val="18"/>
          <w:lang w:val="sr-Latn-RS"/>
        </w:rPr>
      </w:pPr>
      <w:r>
        <w:rPr>
          <w:rFonts w:cs="Arial"/>
          <w:sz w:val="18"/>
          <w:szCs w:val="18"/>
          <w:lang w:val="sr-Latn-RS"/>
        </w:rPr>
        <w:t xml:space="preserve">            </w:t>
      </w:r>
      <w:r w:rsidR="00CD73D3">
        <w:rPr>
          <w:rFonts w:cs="Arial"/>
          <w:sz w:val="18"/>
          <w:szCs w:val="18"/>
          <w:lang w:val="sr-Cyrl-RS"/>
        </w:rPr>
        <w:t xml:space="preserve">                       </w:t>
      </w:r>
      <w:r>
        <w:rPr>
          <w:rFonts w:cs="Arial"/>
          <w:sz w:val="18"/>
          <w:szCs w:val="18"/>
          <w:lang w:val="sr-Latn-RS"/>
        </w:rPr>
        <w:t xml:space="preserve">      </w:t>
      </w:r>
      <w:r>
        <w:rPr>
          <w:noProof/>
        </w:rPr>
        <w:drawing>
          <wp:inline distT="0" distB="0" distL="0" distR="0" wp14:anchorId="745B808D" wp14:editId="7C5BC6A0">
            <wp:extent cx="4281170" cy="2057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0D25" w:rsidRPr="002D6855" w:rsidRDefault="00CD73D3" w:rsidP="00BD7876">
      <w:pPr>
        <w:tabs>
          <w:tab w:val="left" w:pos="3252"/>
        </w:tabs>
        <w:jc w:val="center"/>
        <w:rPr>
          <w:rFonts w:cs="Arial"/>
          <w:szCs w:val="20"/>
          <w:lang w:val="sr-Latn-RS"/>
        </w:rPr>
      </w:pPr>
      <w:r>
        <w:rPr>
          <w:rFonts w:cs="Arial"/>
          <w:sz w:val="18"/>
          <w:szCs w:val="18"/>
          <w:lang w:val="sr-Cyrl-RS"/>
        </w:rPr>
        <w:t xml:space="preserve">  </w:t>
      </w:r>
      <w:r w:rsidR="00BD7876">
        <w:rPr>
          <w:rFonts w:cs="Arial"/>
          <w:sz w:val="18"/>
          <w:szCs w:val="18"/>
        </w:rPr>
        <w:t xml:space="preserve">   </w:t>
      </w:r>
    </w:p>
    <w:p w:rsidR="00AD3E6B" w:rsidRDefault="00AD3E6B">
      <w:pPr>
        <w:rPr>
          <w:rFonts w:cs="Arial"/>
          <w:b/>
          <w:lang w:val="sr-Cyrl-CS"/>
        </w:rPr>
      </w:pPr>
      <w:r>
        <w:rPr>
          <w:rFonts w:cs="Arial"/>
          <w:b/>
          <w:lang w:val="sr-Cyrl-CS"/>
        </w:rPr>
        <w:br w:type="page"/>
      </w:r>
    </w:p>
    <w:p w:rsidR="00BE0D25" w:rsidRPr="00D5497F" w:rsidRDefault="00D5497F" w:rsidP="00D5497F">
      <w:pPr>
        <w:spacing w:after="60"/>
        <w:ind w:left="284" w:hanging="284"/>
        <w:rPr>
          <w:rFonts w:cs="Arial"/>
          <w:b/>
          <w:bCs/>
          <w:lang w:val="sr-Cyrl-CS"/>
        </w:rPr>
      </w:pPr>
      <w:r w:rsidRPr="00D5497F">
        <w:rPr>
          <w:rFonts w:cs="Arial"/>
          <w:b/>
          <w:lang w:val="sr-Cyrl-CS"/>
        </w:rPr>
        <w:lastRenderedPageBreak/>
        <w:t>1.</w:t>
      </w:r>
      <w:r>
        <w:rPr>
          <w:rFonts w:cs="Arial"/>
          <w:b/>
          <w:lang w:val="sr-Cyrl-CS"/>
        </w:rPr>
        <w:t xml:space="preserve"> </w:t>
      </w:r>
      <w:r w:rsidR="000524B1" w:rsidRPr="00D5497F">
        <w:rPr>
          <w:rFonts w:cs="Arial"/>
          <w:b/>
          <w:lang w:val="sr-Cyrl-CS"/>
        </w:rPr>
        <w:t>Буџетска средства Републике Србије за истраживање и развој према врсти подстицаја/програма и сектора</w:t>
      </w:r>
      <w:r w:rsidR="00745284">
        <w:rPr>
          <w:rFonts w:cs="Arial"/>
          <w:b/>
          <w:lang w:val="sr-Cyrl-CS"/>
        </w:rPr>
        <w:t>, 2016</w:t>
      </w:r>
      <w:r w:rsidR="00BE0D25" w:rsidRPr="00D5497F">
        <w:rPr>
          <w:rFonts w:cs="Arial"/>
          <w:b/>
          <w:bCs/>
          <w:lang w:val="sr-Cyrl-CS"/>
        </w:rPr>
        <w:t>.</w:t>
      </w:r>
    </w:p>
    <w:p w:rsidR="00AC27BF" w:rsidRDefault="000524B1" w:rsidP="00AC27BF">
      <w:pPr>
        <w:spacing w:after="60"/>
        <w:jc w:val="right"/>
        <w:rPr>
          <w:rFonts w:cs="Arial"/>
          <w:sz w:val="16"/>
          <w:szCs w:val="16"/>
          <w:lang w:val="sr-Cyrl-RS"/>
        </w:rPr>
      </w:pPr>
      <w:r>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Pr="000524B1">
        <w:rPr>
          <w:rFonts w:cs="Arial"/>
        </w:rPr>
        <w:tab/>
      </w:r>
      <w:r w:rsidR="00AC27BF" w:rsidRPr="00BE2CBF">
        <w:rPr>
          <w:rFonts w:cs="Arial"/>
          <w:sz w:val="16"/>
          <w:szCs w:val="16"/>
        </w:rPr>
        <w:t>хиљ.РСД</w:t>
      </w:r>
    </w:p>
    <w:tbl>
      <w:tblPr>
        <w:tblW w:w="10185" w:type="dxa"/>
        <w:jc w:val="center"/>
        <w:tblCellMar>
          <w:left w:w="28" w:type="dxa"/>
          <w:right w:w="28" w:type="dxa"/>
        </w:tblCellMar>
        <w:tblLook w:val="04A0" w:firstRow="1" w:lastRow="0" w:firstColumn="1" w:lastColumn="0" w:noHBand="0" w:noVBand="1"/>
      </w:tblPr>
      <w:tblGrid>
        <w:gridCol w:w="3686"/>
        <w:gridCol w:w="1009"/>
        <w:gridCol w:w="1080"/>
        <w:gridCol w:w="1080"/>
        <w:gridCol w:w="1170"/>
        <w:gridCol w:w="1080"/>
        <w:gridCol w:w="1080"/>
      </w:tblGrid>
      <w:tr w:rsidR="00D5497F" w:rsidRPr="00122EDE" w:rsidTr="005149EB">
        <w:trPr>
          <w:trHeight w:val="1126"/>
          <w:jc w:val="center"/>
        </w:trPr>
        <w:tc>
          <w:tcPr>
            <w:tcW w:w="3686" w:type="dxa"/>
            <w:tcBorders>
              <w:top w:val="single" w:sz="4" w:space="0" w:color="auto"/>
              <w:bottom w:val="single" w:sz="4" w:space="0" w:color="auto"/>
              <w:right w:val="single" w:sz="4" w:space="0" w:color="auto"/>
            </w:tcBorders>
            <w:shd w:val="clear" w:color="auto" w:fill="auto"/>
            <w:noWrap/>
            <w:vAlign w:val="center"/>
            <w:hideMark/>
          </w:tcPr>
          <w:p w:rsidR="00D5497F" w:rsidRPr="00122EDE" w:rsidRDefault="00D5497F" w:rsidP="00D5497F">
            <w:pPr>
              <w:spacing w:before="120" w:after="120"/>
              <w:contextualSpacing/>
              <w:jc w:val="center"/>
              <w:rPr>
                <w:rFonts w:cs="Arial"/>
                <w:color w:val="000000"/>
                <w:sz w:val="16"/>
                <w:szCs w:val="16"/>
              </w:rPr>
            </w:pPr>
            <w:r w:rsidRPr="000524B1">
              <w:rPr>
                <w:rFonts w:cs="Arial"/>
                <w:color w:val="000000"/>
                <w:sz w:val="16"/>
                <w:szCs w:val="16"/>
              </w:rPr>
              <w:t>Програми</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97F" w:rsidRPr="00195E38" w:rsidRDefault="00D5497F" w:rsidP="00D5497F">
            <w:pPr>
              <w:spacing w:before="120" w:after="120"/>
              <w:contextualSpacing/>
              <w:jc w:val="center"/>
              <w:rPr>
                <w:rFonts w:cs="Arial"/>
                <w:bCs/>
                <w:color w:val="000000"/>
                <w:sz w:val="16"/>
                <w:szCs w:val="16"/>
              </w:rPr>
            </w:pPr>
            <w:r w:rsidRPr="00122EDE">
              <w:rPr>
                <w:rFonts w:cs="Arial"/>
                <w:bCs/>
                <w:color w:val="000000"/>
                <w:sz w:val="16"/>
                <w:szCs w:val="16"/>
              </w:rPr>
              <w:t>Укупно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r w:rsidRPr="00122EDE">
              <w:rPr>
                <w:rFonts w:cs="Arial"/>
                <w:color w:val="000000"/>
                <w:sz w:val="16"/>
                <w:szCs w:val="16"/>
              </w:rPr>
              <w:t>Нефинансиј-</w:t>
            </w:r>
          </w:p>
          <w:p w:rsidR="00D5497F" w:rsidRPr="00122EDE" w:rsidRDefault="00D5497F" w:rsidP="00D5497F">
            <w:pPr>
              <w:spacing w:before="120" w:after="120"/>
              <w:contextualSpacing/>
              <w:jc w:val="center"/>
              <w:rPr>
                <w:rFonts w:cs="Arial"/>
                <w:color w:val="000000"/>
                <w:sz w:val="16"/>
                <w:szCs w:val="16"/>
              </w:rPr>
            </w:pPr>
            <w:r w:rsidRPr="00122EDE">
              <w:rPr>
                <w:rFonts w:cs="Arial"/>
                <w:color w:val="000000"/>
                <w:sz w:val="16"/>
                <w:szCs w:val="16"/>
              </w:rPr>
              <w:t>ски  (пословни) сектор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r w:rsidRPr="00122EDE">
              <w:rPr>
                <w:rFonts w:cs="Arial"/>
                <w:color w:val="000000"/>
                <w:sz w:val="16"/>
                <w:szCs w:val="16"/>
              </w:rPr>
              <w:t>Сектор државе</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r w:rsidRPr="00122EDE">
              <w:rPr>
                <w:rFonts w:cs="Arial"/>
                <w:color w:val="000000"/>
                <w:sz w:val="16"/>
                <w:szCs w:val="16"/>
              </w:rPr>
              <w:t>Високо образовање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r w:rsidRPr="00122EDE">
              <w:rPr>
                <w:rFonts w:cs="Arial"/>
                <w:color w:val="000000"/>
                <w:sz w:val="16"/>
                <w:szCs w:val="16"/>
              </w:rPr>
              <w:t>Приватни непрофитни сектор</w:t>
            </w:r>
          </w:p>
        </w:tc>
        <w:tc>
          <w:tcPr>
            <w:tcW w:w="1080" w:type="dxa"/>
            <w:tcBorders>
              <w:top w:val="single" w:sz="4" w:space="0" w:color="auto"/>
              <w:left w:val="single" w:sz="4" w:space="0" w:color="auto"/>
              <w:bottom w:val="single" w:sz="4" w:space="0" w:color="auto"/>
            </w:tcBorders>
            <w:shd w:val="clear" w:color="auto" w:fill="auto"/>
            <w:vAlign w:val="center"/>
            <w:hideMark/>
          </w:tcPr>
          <w:p w:rsidR="00D5497F" w:rsidRPr="00122EDE" w:rsidRDefault="00D5497F" w:rsidP="00D5497F">
            <w:pPr>
              <w:spacing w:before="120" w:after="120"/>
              <w:contextualSpacing/>
              <w:jc w:val="center"/>
              <w:rPr>
                <w:rFonts w:cs="Arial"/>
                <w:color w:val="000000"/>
                <w:sz w:val="16"/>
                <w:szCs w:val="16"/>
              </w:rPr>
            </w:pPr>
            <w:r w:rsidRPr="00BE2CBF">
              <w:rPr>
                <w:rFonts w:cs="Arial"/>
                <w:color w:val="000000"/>
                <w:sz w:val="16"/>
                <w:szCs w:val="16"/>
              </w:rPr>
              <w:t>Међународне органи</w:t>
            </w:r>
            <w:r>
              <w:rPr>
                <w:rFonts w:cs="Arial"/>
                <w:color w:val="000000"/>
                <w:sz w:val="16"/>
                <w:szCs w:val="16"/>
              </w:rPr>
              <w:t>-</w:t>
            </w:r>
            <w:r w:rsidRPr="00BE2CBF">
              <w:rPr>
                <w:rFonts w:cs="Arial"/>
                <w:color w:val="000000"/>
                <w:sz w:val="16"/>
                <w:szCs w:val="16"/>
              </w:rPr>
              <w:t>зације</w:t>
            </w:r>
          </w:p>
        </w:tc>
      </w:tr>
      <w:tr w:rsidR="00D5497F" w:rsidRPr="00122EDE" w:rsidTr="00D5497F">
        <w:trPr>
          <w:trHeight w:val="20"/>
          <w:jc w:val="center"/>
        </w:trPr>
        <w:tc>
          <w:tcPr>
            <w:tcW w:w="3686" w:type="dxa"/>
            <w:tcBorders>
              <w:top w:val="single" w:sz="4" w:space="0" w:color="auto"/>
              <w:right w:val="single" w:sz="4" w:space="0" w:color="auto"/>
            </w:tcBorders>
            <w:shd w:val="clear" w:color="auto" w:fill="auto"/>
            <w:noWrap/>
            <w:vAlign w:val="bottom"/>
          </w:tcPr>
          <w:p w:rsidR="00D5497F" w:rsidRPr="00122EDE" w:rsidRDefault="00D5497F" w:rsidP="00D5497F">
            <w:pPr>
              <w:spacing w:line="324" w:lineRule="auto"/>
              <w:contextualSpacing/>
              <w:rPr>
                <w:rFonts w:cs="Arial"/>
                <w:b/>
                <w:bCs/>
                <w:color w:val="000000"/>
                <w:sz w:val="16"/>
                <w:szCs w:val="16"/>
              </w:rPr>
            </w:pPr>
          </w:p>
        </w:tc>
        <w:tc>
          <w:tcPr>
            <w:tcW w:w="1009" w:type="dxa"/>
            <w:tcBorders>
              <w:top w:val="single" w:sz="4" w:space="0" w:color="auto"/>
              <w:left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17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c>
          <w:tcPr>
            <w:tcW w:w="1080" w:type="dxa"/>
            <w:tcBorders>
              <w:top w:val="single" w:sz="4" w:space="0" w:color="auto"/>
            </w:tcBorders>
            <w:shd w:val="clear" w:color="auto" w:fill="auto"/>
            <w:noWrap/>
            <w:vAlign w:val="bottom"/>
          </w:tcPr>
          <w:p w:rsidR="00D5497F" w:rsidRPr="00122EDE" w:rsidRDefault="00D5497F" w:rsidP="00D5497F">
            <w:pPr>
              <w:spacing w:line="324" w:lineRule="auto"/>
              <w:ind w:right="113"/>
              <w:contextualSpacing/>
              <w:jc w:val="right"/>
              <w:rPr>
                <w:rFonts w:cs="Arial"/>
                <w:b/>
                <w:color w:val="000000"/>
                <w:sz w:val="16"/>
                <w:szCs w:val="16"/>
              </w:rPr>
            </w:pPr>
          </w:p>
        </w:tc>
      </w:tr>
      <w:tr w:rsidR="00C364EF" w:rsidRPr="00C364EF" w:rsidTr="00D5497F">
        <w:trPr>
          <w:trHeight w:val="20"/>
          <w:jc w:val="center"/>
        </w:trPr>
        <w:tc>
          <w:tcPr>
            <w:tcW w:w="3686" w:type="dxa"/>
            <w:tcBorders>
              <w:right w:val="single" w:sz="4" w:space="0" w:color="auto"/>
            </w:tcBorders>
            <w:shd w:val="clear" w:color="auto" w:fill="auto"/>
            <w:noWrap/>
            <w:vAlign w:val="bottom"/>
          </w:tcPr>
          <w:p w:rsidR="00C364EF" w:rsidRPr="00C364EF" w:rsidRDefault="00C364EF" w:rsidP="00C364EF">
            <w:pPr>
              <w:rPr>
                <w:rFonts w:cs="Arial"/>
                <w:b/>
                <w:color w:val="000000"/>
                <w:sz w:val="16"/>
                <w:szCs w:val="16"/>
              </w:rPr>
            </w:pPr>
            <w:r w:rsidRPr="00C364EF">
              <w:rPr>
                <w:rFonts w:cs="Arial"/>
                <w:b/>
                <w:color w:val="000000"/>
                <w:sz w:val="16"/>
                <w:szCs w:val="16"/>
              </w:rPr>
              <w:t>УКУПНО</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b/>
                <w:color w:val="000000"/>
                <w:sz w:val="16"/>
                <w:szCs w:val="16"/>
              </w:rPr>
            </w:pPr>
            <w:r w:rsidRPr="00C364EF">
              <w:rPr>
                <w:rFonts w:cs="Arial"/>
                <w:b/>
                <w:color w:val="000000"/>
                <w:sz w:val="16"/>
                <w:szCs w:val="16"/>
              </w:rPr>
              <w:t>16312531</w:t>
            </w:r>
          </w:p>
        </w:tc>
        <w:tc>
          <w:tcPr>
            <w:tcW w:w="1080" w:type="dxa"/>
            <w:shd w:val="clear" w:color="auto" w:fill="auto"/>
            <w:noWrap/>
            <w:vAlign w:val="bottom"/>
          </w:tcPr>
          <w:p w:rsidR="00C364EF" w:rsidRPr="00C364EF" w:rsidRDefault="00C364EF" w:rsidP="00C364EF">
            <w:pPr>
              <w:jc w:val="right"/>
              <w:rPr>
                <w:rFonts w:cs="Arial"/>
                <w:b/>
                <w:color w:val="000000"/>
                <w:sz w:val="16"/>
                <w:szCs w:val="16"/>
              </w:rPr>
            </w:pPr>
            <w:r w:rsidRPr="00C364EF">
              <w:rPr>
                <w:rFonts w:cs="Arial"/>
                <w:b/>
                <w:color w:val="000000"/>
                <w:sz w:val="16"/>
                <w:szCs w:val="16"/>
              </w:rPr>
              <w:t>638057</w:t>
            </w:r>
          </w:p>
        </w:tc>
        <w:tc>
          <w:tcPr>
            <w:tcW w:w="1080" w:type="dxa"/>
            <w:shd w:val="clear" w:color="auto" w:fill="auto"/>
            <w:noWrap/>
            <w:vAlign w:val="bottom"/>
          </w:tcPr>
          <w:p w:rsidR="00C364EF" w:rsidRPr="00C364EF" w:rsidRDefault="00C364EF" w:rsidP="00C364EF">
            <w:pPr>
              <w:jc w:val="right"/>
              <w:rPr>
                <w:rFonts w:cs="Arial"/>
                <w:b/>
                <w:color w:val="000000"/>
                <w:sz w:val="16"/>
                <w:szCs w:val="16"/>
              </w:rPr>
            </w:pPr>
            <w:r w:rsidRPr="00C364EF">
              <w:rPr>
                <w:rFonts w:cs="Arial"/>
                <w:b/>
                <w:color w:val="000000"/>
                <w:sz w:val="16"/>
                <w:szCs w:val="16"/>
              </w:rPr>
              <w:t>7744423</w:t>
            </w:r>
          </w:p>
        </w:tc>
        <w:tc>
          <w:tcPr>
            <w:tcW w:w="1170" w:type="dxa"/>
            <w:shd w:val="clear" w:color="auto" w:fill="auto"/>
            <w:noWrap/>
            <w:vAlign w:val="bottom"/>
          </w:tcPr>
          <w:p w:rsidR="00C364EF" w:rsidRPr="00C364EF" w:rsidRDefault="00C364EF" w:rsidP="00C364EF">
            <w:pPr>
              <w:jc w:val="right"/>
              <w:rPr>
                <w:rFonts w:cs="Arial"/>
                <w:b/>
                <w:color w:val="000000"/>
                <w:sz w:val="16"/>
                <w:szCs w:val="16"/>
              </w:rPr>
            </w:pPr>
            <w:r w:rsidRPr="00C364EF">
              <w:rPr>
                <w:rFonts w:cs="Arial"/>
                <w:b/>
                <w:color w:val="000000"/>
                <w:sz w:val="16"/>
                <w:szCs w:val="16"/>
              </w:rPr>
              <w:t>6015353</w:t>
            </w:r>
          </w:p>
        </w:tc>
        <w:tc>
          <w:tcPr>
            <w:tcW w:w="1080" w:type="dxa"/>
            <w:shd w:val="clear" w:color="auto" w:fill="auto"/>
            <w:noWrap/>
            <w:vAlign w:val="bottom"/>
          </w:tcPr>
          <w:p w:rsidR="00C364EF" w:rsidRPr="00C364EF" w:rsidRDefault="00C364EF" w:rsidP="00C364EF">
            <w:pPr>
              <w:jc w:val="right"/>
              <w:rPr>
                <w:rFonts w:cs="Arial"/>
                <w:b/>
                <w:color w:val="000000"/>
                <w:sz w:val="16"/>
                <w:szCs w:val="16"/>
              </w:rPr>
            </w:pPr>
            <w:r w:rsidRPr="00C364EF">
              <w:rPr>
                <w:rFonts w:cs="Arial"/>
                <w:b/>
                <w:color w:val="000000"/>
                <w:sz w:val="16"/>
                <w:szCs w:val="16"/>
              </w:rPr>
              <w:t>232918</w:t>
            </w:r>
          </w:p>
        </w:tc>
        <w:tc>
          <w:tcPr>
            <w:tcW w:w="1080" w:type="dxa"/>
            <w:shd w:val="clear" w:color="auto" w:fill="auto"/>
            <w:noWrap/>
            <w:vAlign w:val="bottom"/>
          </w:tcPr>
          <w:p w:rsidR="00C364EF" w:rsidRPr="00C364EF" w:rsidRDefault="00C364EF" w:rsidP="00C364EF">
            <w:pPr>
              <w:jc w:val="right"/>
              <w:rPr>
                <w:rFonts w:cs="Arial"/>
                <w:b/>
                <w:color w:val="000000"/>
                <w:sz w:val="16"/>
                <w:szCs w:val="16"/>
              </w:rPr>
            </w:pPr>
            <w:r w:rsidRPr="00C364EF">
              <w:rPr>
                <w:rFonts w:cs="Arial"/>
                <w:b/>
                <w:color w:val="000000"/>
                <w:sz w:val="16"/>
                <w:szCs w:val="16"/>
              </w:rPr>
              <w:t>1681780</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Основна истраживања</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4958581</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217079</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1831945</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2907457</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2100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Истраживања у области технолошког развоја</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3483329</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268642</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1561512</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1653175</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Суфинансирање интегралних и интердисциплинарних истраживања</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3185232</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109859</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1820633</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1254740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Иновациони пројекти</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56587</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29200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27387</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Остали програми подршке иновационе делатности</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10000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10000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Научноистраживачки рад САНУ и Матице српске</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107620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72120</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35500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Научноистраживачки рад центара изузетних вредности</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10000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10000</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Обезбеђивање и одржавање научноистраживачке опреме и простора за научноистраживачки рад</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6360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6360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Инвестиције у научноистраживачку опрему</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1262857</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1259857</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3000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Инвестиције у простор за научноистраживачки рад</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314072</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314072</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i/>
                <w:iCs/>
                <w:color w:val="000000"/>
                <w:sz w:val="16"/>
                <w:szCs w:val="16"/>
              </w:rPr>
            </w:pPr>
            <w:r w:rsidRPr="00C364EF">
              <w:rPr>
                <w:rFonts w:cs="Arial"/>
                <w:i/>
                <w:iCs/>
                <w:color w:val="000000"/>
                <w:sz w:val="16"/>
                <w:szCs w:val="16"/>
              </w:rPr>
              <w:t>Међународна научна сарадња од значаја за Републику</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i/>
                <w:iCs/>
                <w:color w:val="000000"/>
                <w:sz w:val="16"/>
                <w:szCs w:val="16"/>
              </w:rPr>
            </w:pPr>
            <w:r w:rsidRPr="00C364EF">
              <w:rPr>
                <w:rFonts w:cs="Arial"/>
                <w:i/>
                <w:iCs/>
                <w:color w:val="000000"/>
                <w:sz w:val="16"/>
                <w:szCs w:val="16"/>
              </w:rPr>
              <w:t>1743042</w:t>
            </w:r>
          </w:p>
        </w:tc>
        <w:tc>
          <w:tcPr>
            <w:tcW w:w="1080" w:type="dxa"/>
            <w:shd w:val="clear" w:color="auto" w:fill="auto"/>
            <w:noWrap/>
            <w:vAlign w:val="bottom"/>
          </w:tcPr>
          <w:p w:rsidR="00C364EF" w:rsidRPr="00C364EF" w:rsidRDefault="00C364EF" w:rsidP="00C364EF">
            <w:pPr>
              <w:jc w:val="right"/>
              <w:rPr>
                <w:rFonts w:cs="Arial"/>
                <w:i/>
                <w:iCs/>
                <w:color w:val="000000"/>
                <w:sz w:val="16"/>
                <w:szCs w:val="16"/>
              </w:rPr>
            </w:pPr>
            <w:r w:rsidRPr="00C364EF">
              <w:rPr>
                <w:rFonts w:cs="Arial"/>
                <w:i/>
                <w:iCs/>
                <w:color w:val="000000"/>
                <w:sz w:val="16"/>
                <w:szCs w:val="16"/>
              </w:rPr>
              <w:t>32</w:t>
            </w:r>
          </w:p>
        </w:tc>
        <w:tc>
          <w:tcPr>
            <w:tcW w:w="1080" w:type="dxa"/>
            <w:shd w:val="clear" w:color="auto" w:fill="auto"/>
            <w:noWrap/>
            <w:vAlign w:val="bottom"/>
          </w:tcPr>
          <w:p w:rsidR="00C364EF" w:rsidRPr="00C364EF" w:rsidRDefault="00C364EF" w:rsidP="00C364EF">
            <w:pPr>
              <w:jc w:val="right"/>
              <w:rPr>
                <w:rFonts w:cs="Arial"/>
                <w:i/>
                <w:iCs/>
                <w:color w:val="000000"/>
                <w:sz w:val="16"/>
                <w:szCs w:val="16"/>
              </w:rPr>
            </w:pPr>
            <w:r w:rsidRPr="00C364EF">
              <w:rPr>
                <w:rFonts w:cs="Arial"/>
                <w:i/>
                <w:iCs/>
                <w:color w:val="000000"/>
                <w:sz w:val="16"/>
                <w:szCs w:val="16"/>
              </w:rPr>
              <w:t>27771</w:t>
            </w:r>
          </w:p>
        </w:tc>
        <w:tc>
          <w:tcPr>
            <w:tcW w:w="1170" w:type="dxa"/>
            <w:shd w:val="clear" w:color="auto" w:fill="auto"/>
            <w:noWrap/>
            <w:vAlign w:val="bottom"/>
          </w:tcPr>
          <w:p w:rsidR="00C364EF" w:rsidRPr="00C364EF" w:rsidRDefault="00C364EF" w:rsidP="00C364EF">
            <w:pPr>
              <w:jc w:val="right"/>
              <w:rPr>
                <w:rFonts w:cs="Arial"/>
                <w:i/>
                <w:iCs/>
                <w:color w:val="000000"/>
                <w:sz w:val="16"/>
                <w:szCs w:val="16"/>
              </w:rPr>
            </w:pPr>
            <w:r w:rsidRPr="00C364EF">
              <w:rPr>
                <w:rFonts w:cs="Arial"/>
                <w:i/>
                <w:iCs/>
                <w:color w:val="000000"/>
                <w:sz w:val="16"/>
                <w:szCs w:val="16"/>
              </w:rPr>
              <w:t>33459</w:t>
            </w:r>
          </w:p>
        </w:tc>
        <w:tc>
          <w:tcPr>
            <w:tcW w:w="1080" w:type="dxa"/>
            <w:shd w:val="clear" w:color="auto" w:fill="auto"/>
            <w:noWrap/>
            <w:vAlign w:val="bottom"/>
          </w:tcPr>
          <w:p w:rsidR="00C364EF" w:rsidRPr="00C364EF" w:rsidRDefault="00C364EF" w:rsidP="00C364EF">
            <w:pPr>
              <w:jc w:val="right"/>
              <w:rPr>
                <w:rFonts w:cs="Arial"/>
                <w:i/>
                <w:iCs/>
                <w:color w:val="000000"/>
                <w:sz w:val="16"/>
                <w:szCs w:val="16"/>
              </w:rPr>
            </w:pPr>
            <w:r>
              <w:rPr>
                <w:rFonts w:cs="Arial"/>
                <w:i/>
                <w:iCs/>
                <w:color w:val="000000"/>
                <w:sz w:val="16"/>
                <w:szCs w:val="16"/>
              </w:rPr>
              <w:t>-</w:t>
            </w:r>
          </w:p>
        </w:tc>
        <w:tc>
          <w:tcPr>
            <w:tcW w:w="1080" w:type="dxa"/>
            <w:shd w:val="clear" w:color="auto" w:fill="auto"/>
            <w:noWrap/>
            <w:vAlign w:val="bottom"/>
          </w:tcPr>
          <w:p w:rsidR="00C364EF" w:rsidRPr="00C364EF" w:rsidRDefault="00C364EF" w:rsidP="00C364EF">
            <w:pPr>
              <w:jc w:val="right"/>
              <w:rPr>
                <w:rFonts w:cs="Arial"/>
                <w:i/>
                <w:iCs/>
                <w:color w:val="000000"/>
                <w:sz w:val="16"/>
                <w:szCs w:val="16"/>
              </w:rPr>
            </w:pPr>
            <w:r w:rsidRPr="00C364EF">
              <w:rPr>
                <w:rFonts w:cs="Arial"/>
                <w:i/>
                <w:iCs/>
                <w:color w:val="000000"/>
                <w:sz w:val="16"/>
                <w:szCs w:val="16"/>
              </w:rPr>
              <w:t>1681780</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 xml:space="preserve">      Обавезе државе за учешће у програмима ЕУ</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1459698</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22</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16577</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22727</w:t>
            </w:r>
          </w:p>
        </w:tc>
        <w:tc>
          <w:tcPr>
            <w:tcW w:w="1080" w:type="dxa"/>
            <w:shd w:val="clear" w:color="auto" w:fill="auto"/>
            <w:noWrap/>
            <w:vAlign w:val="bottom"/>
          </w:tcPr>
          <w:p w:rsidR="00C364EF" w:rsidRPr="00C364EF" w:rsidRDefault="00C364EF" w:rsidP="00C364EF">
            <w:pPr>
              <w:jc w:val="right"/>
              <w:rPr>
                <w:rFonts w:cs="Arial"/>
                <w:color w:val="000000"/>
                <w:sz w:val="16"/>
                <w:szCs w:val="16"/>
              </w:rPr>
            </w:pP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1420372</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 xml:space="preserve">      Обавезе државе у билатералним научним програмима</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21926</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11194</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10732</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 xml:space="preserve">      Остале обавезе према међународним организацијама </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261418</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261408</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Развој информатичког друштва</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10990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6290</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4700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Усавршавање кадрова за научноистраживачки рад</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75015</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38391</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36624</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Подстицање и стипендирање младих и надарених за научноистраживачки рад</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250899</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7111</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35188</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208600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Набавка научне и стручне литературе из иностранства и приступ научним и стручним базама података</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5500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3000</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2500</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 xml:space="preserve">Издавање научних публикација и одржавање научних скупова </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80796</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3245</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21388</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33945</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22218</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Подстицање активности научних и стучних друштава, удружења и сличних организација на промоцију науке и технике</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8705</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8705</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Суфинансирање изградње станова за потребе младих истраживача и научника</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249161</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249161</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Приоритетни програми према Стратегији</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44914</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44914</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r w:rsidR="00C364EF" w:rsidRPr="00D0316C" w:rsidTr="00C80AF3">
        <w:trPr>
          <w:trHeight w:val="20"/>
          <w:jc w:val="center"/>
        </w:trPr>
        <w:tc>
          <w:tcPr>
            <w:tcW w:w="3686" w:type="dxa"/>
            <w:tcBorders>
              <w:right w:val="single" w:sz="4" w:space="0" w:color="auto"/>
            </w:tcBorders>
            <w:shd w:val="clear" w:color="auto" w:fill="auto"/>
            <w:vAlign w:val="bottom"/>
          </w:tcPr>
          <w:p w:rsidR="00C364EF" w:rsidRPr="00C364EF" w:rsidRDefault="00C364EF" w:rsidP="00C364EF">
            <w:pPr>
              <w:rPr>
                <w:rFonts w:cs="Arial"/>
                <w:color w:val="000000"/>
                <w:sz w:val="16"/>
                <w:szCs w:val="16"/>
              </w:rPr>
            </w:pPr>
            <w:r w:rsidRPr="00C364EF">
              <w:rPr>
                <w:rFonts w:cs="Arial"/>
                <w:color w:val="000000"/>
                <w:sz w:val="16"/>
                <w:szCs w:val="16"/>
              </w:rPr>
              <w:t>Други програми у складу са Стратегијом и Законом</w:t>
            </w:r>
          </w:p>
        </w:tc>
        <w:tc>
          <w:tcPr>
            <w:tcW w:w="1009" w:type="dxa"/>
            <w:tcBorders>
              <w:left w:val="single" w:sz="4" w:space="0" w:color="auto"/>
            </w:tcBorders>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448871</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sidRPr="00C364EF">
              <w:rPr>
                <w:rFonts w:cs="Arial"/>
                <w:color w:val="000000"/>
                <w:sz w:val="16"/>
                <w:szCs w:val="16"/>
              </w:rPr>
              <w:t>448871</w:t>
            </w:r>
          </w:p>
        </w:tc>
        <w:tc>
          <w:tcPr>
            <w:tcW w:w="117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c>
          <w:tcPr>
            <w:tcW w:w="1080" w:type="dxa"/>
            <w:shd w:val="clear" w:color="auto" w:fill="auto"/>
            <w:noWrap/>
            <w:vAlign w:val="bottom"/>
          </w:tcPr>
          <w:p w:rsidR="00C364EF" w:rsidRPr="00C364EF" w:rsidRDefault="00C364EF" w:rsidP="00C364EF">
            <w:pPr>
              <w:jc w:val="right"/>
              <w:rPr>
                <w:rFonts w:cs="Arial"/>
                <w:color w:val="000000"/>
                <w:sz w:val="16"/>
                <w:szCs w:val="16"/>
              </w:rPr>
            </w:pPr>
            <w:r>
              <w:rPr>
                <w:rFonts w:cs="Arial"/>
                <w:color w:val="000000"/>
                <w:sz w:val="16"/>
                <w:szCs w:val="16"/>
              </w:rPr>
              <w:t>-</w:t>
            </w:r>
          </w:p>
        </w:tc>
      </w:tr>
    </w:tbl>
    <w:p w:rsidR="00D5497F" w:rsidRDefault="00D5497F" w:rsidP="00AC27BF">
      <w:pPr>
        <w:spacing w:after="60"/>
        <w:jc w:val="right"/>
        <w:rPr>
          <w:rFonts w:cs="Arial"/>
          <w:sz w:val="16"/>
          <w:szCs w:val="16"/>
          <w:lang w:val="sr-Cyrl-RS"/>
        </w:rPr>
      </w:pPr>
    </w:p>
    <w:p w:rsidR="00D5497F" w:rsidRDefault="00D5497F" w:rsidP="00AC27BF">
      <w:pPr>
        <w:spacing w:after="60"/>
        <w:jc w:val="right"/>
        <w:rPr>
          <w:rFonts w:cs="Arial"/>
          <w:sz w:val="16"/>
          <w:szCs w:val="16"/>
          <w:lang w:val="sr-Cyrl-RS"/>
        </w:rPr>
      </w:pPr>
    </w:p>
    <w:p w:rsidR="00D5497F" w:rsidRDefault="00D5497F" w:rsidP="00AC27BF">
      <w:pPr>
        <w:spacing w:after="60"/>
        <w:jc w:val="right"/>
        <w:rPr>
          <w:rFonts w:cs="Arial"/>
          <w:sz w:val="16"/>
          <w:szCs w:val="16"/>
          <w:lang w:val="sr-Cyrl-RS"/>
        </w:rPr>
      </w:pPr>
    </w:p>
    <w:p w:rsidR="00D5497F" w:rsidRDefault="00D5497F" w:rsidP="00AC27BF">
      <w:pPr>
        <w:spacing w:after="60"/>
        <w:jc w:val="right"/>
        <w:rPr>
          <w:rFonts w:cs="Arial"/>
          <w:sz w:val="16"/>
          <w:szCs w:val="16"/>
          <w:lang w:val="sr-Cyrl-RS"/>
        </w:rPr>
      </w:pPr>
    </w:p>
    <w:p w:rsidR="00D5497F" w:rsidRPr="00D5497F" w:rsidRDefault="00D5497F" w:rsidP="00AC27BF">
      <w:pPr>
        <w:spacing w:after="60"/>
        <w:jc w:val="right"/>
        <w:rPr>
          <w:rFonts w:cs="Arial"/>
          <w:b/>
          <w:sz w:val="16"/>
          <w:szCs w:val="16"/>
          <w:lang w:val="sr-Cyrl-RS"/>
        </w:rPr>
      </w:pPr>
    </w:p>
    <w:p w:rsidR="000524B1" w:rsidRPr="000524B1" w:rsidRDefault="000524B1" w:rsidP="000524B1">
      <w:pPr>
        <w:pStyle w:val="ListParagraph"/>
        <w:jc w:val="center"/>
        <w:rPr>
          <w:rFonts w:cs="Arial"/>
        </w:rPr>
      </w:pPr>
    </w:p>
    <w:p w:rsidR="00C364EF" w:rsidRDefault="00C364EF">
      <w:pPr>
        <w:rPr>
          <w:rFonts w:cs="Arial"/>
          <w:b/>
          <w:lang w:val="sr-Cyrl-CS"/>
        </w:rPr>
      </w:pPr>
      <w:r>
        <w:rPr>
          <w:rFonts w:cs="Arial"/>
          <w:b/>
          <w:lang w:val="sr-Cyrl-CS"/>
        </w:rPr>
        <w:br w:type="page"/>
      </w:r>
    </w:p>
    <w:p w:rsidR="00AC27BF" w:rsidRPr="00BE0D25" w:rsidRDefault="00AC27BF" w:rsidP="00D5497F">
      <w:pPr>
        <w:spacing w:after="60"/>
        <w:ind w:left="284" w:hanging="284"/>
        <w:rPr>
          <w:rFonts w:cs="Arial"/>
          <w:b/>
          <w:sz w:val="16"/>
          <w:szCs w:val="16"/>
        </w:rPr>
      </w:pPr>
      <w:r>
        <w:rPr>
          <w:rFonts w:cs="Arial"/>
          <w:b/>
          <w:lang w:val="sr-Cyrl-CS"/>
        </w:rPr>
        <w:lastRenderedPageBreak/>
        <w:t>2</w:t>
      </w:r>
      <w:r w:rsidRPr="00BE0D25">
        <w:rPr>
          <w:rFonts w:cs="Arial"/>
          <w:b/>
          <w:lang w:val="sr-Cyrl-CS"/>
        </w:rPr>
        <w:t xml:space="preserve">. Буџетска средства Републике Србије за </w:t>
      </w:r>
      <w:r w:rsidRPr="00BC55DE">
        <w:rPr>
          <w:rFonts w:cs="Arial"/>
          <w:b/>
          <w:lang w:val="sr-Cyrl-CS"/>
        </w:rPr>
        <w:t>ИР</w:t>
      </w:r>
      <w:r w:rsidRPr="00BE0D25">
        <w:rPr>
          <w:rFonts w:cs="Arial"/>
          <w:b/>
          <w:lang w:val="sr-Cyrl-CS"/>
        </w:rPr>
        <w:t xml:space="preserve"> (стварни издаци) према друштвено-економским циљевима и секторима, </w:t>
      </w:r>
      <w:r w:rsidRPr="00BE0D25">
        <w:rPr>
          <w:rFonts w:cs="Arial"/>
          <w:b/>
          <w:bCs/>
          <w:lang w:val="sr-Cyrl-CS"/>
        </w:rPr>
        <w:t>201</w:t>
      </w:r>
      <w:r w:rsidR="00745284">
        <w:rPr>
          <w:rFonts w:cs="Arial"/>
          <w:b/>
          <w:bCs/>
        </w:rPr>
        <w:t>6</w:t>
      </w:r>
      <w:r w:rsidRPr="00BE0D25">
        <w:rPr>
          <w:rFonts w:cs="Arial"/>
          <w:b/>
          <w:bCs/>
          <w:lang w:val="sr-Cyrl-CS"/>
        </w:rPr>
        <w:t>.</w:t>
      </w:r>
    </w:p>
    <w:p w:rsidR="00AC27BF" w:rsidRDefault="00AC27BF" w:rsidP="00AC27BF">
      <w:pPr>
        <w:jc w:val="right"/>
        <w:rPr>
          <w:rFonts w:cs="Arial"/>
          <w:lang w:val="sr-Cyrl-RS"/>
        </w:rPr>
      </w:pPr>
      <w:r w:rsidRPr="00BE0D25">
        <w:rPr>
          <w:rFonts w:cs="Arial"/>
        </w:rPr>
        <w:tab/>
      </w:r>
      <w:r>
        <w:rPr>
          <w:rFonts w:cs="Arial"/>
        </w:rPr>
        <w:tab/>
      </w:r>
      <w:r>
        <w:rPr>
          <w:rFonts w:cs="Arial"/>
        </w:rPr>
        <w:tab/>
      </w:r>
      <w:r w:rsidRPr="00AC27BF">
        <w:rPr>
          <w:rFonts w:cs="Arial"/>
          <w:sz w:val="16"/>
          <w:szCs w:val="16"/>
        </w:rPr>
        <w:t>Хиљ.РСД</w:t>
      </w:r>
      <w:r w:rsidRPr="00BE0D25">
        <w:rPr>
          <w:rFonts w:cs="Arial"/>
        </w:rPr>
        <w:tab/>
      </w:r>
    </w:p>
    <w:tbl>
      <w:tblPr>
        <w:tblW w:w="10148" w:type="dxa"/>
        <w:jc w:val="center"/>
        <w:tblLayout w:type="fixed"/>
        <w:tblCellMar>
          <w:left w:w="28" w:type="dxa"/>
          <w:right w:w="28" w:type="dxa"/>
        </w:tblCellMar>
        <w:tblLook w:val="04A0" w:firstRow="1" w:lastRow="0" w:firstColumn="1" w:lastColumn="0" w:noHBand="0" w:noVBand="1"/>
      </w:tblPr>
      <w:tblGrid>
        <w:gridCol w:w="3686"/>
        <w:gridCol w:w="1077"/>
        <w:gridCol w:w="1077"/>
        <w:gridCol w:w="1077"/>
        <w:gridCol w:w="1077"/>
        <w:gridCol w:w="1077"/>
        <w:gridCol w:w="1077"/>
      </w:tblGrid>
      <w:tr w:rsidR="00D5497F" w:rsidRPr="001D7389" w:rsidTr="00D5497F">
        <w:trPr>
          <w:trHeight w:val="20"/>
          <w:jc w:val="center"/>
        </w:trPr>
        <w:tc>
          <w:tcPr>
            <w:tcW w:w="3686" w:type="dxa"/>
            <w:tcBorders>
              <w:top w:val="single" w:sz="4" w:space="0" w:color="auto"/>
              <w:bottom w:val="single" w:sz="4" w:space="0" w:color="auto"/>
              <w:right w:val="single" w:sz="4" w:space="0" w:color="auto"/>
            </w:tcBorders>
            <w:shd w:val="clear" w:color="auto" w:fill="auto"/>
            <w:noWrap/>
            <w:vAlign w:val="center"/>
            <w:hideMark/>
          </w:tcPr>
          <w:p w:rsidR="00D5497F" w:rsidRPr="001D7389" w:rsidRDefault="00D5497F" w:rsidP="00745284">
            <w:pPr>
              <w:spacing w:before="60" w:after="60" w:line="264" w:lineRule="auto"/>
              <w:jc w:val="center"/>
              <w:rPr>
                <w:rFonts w:cs="Arial"/>
                <w:color w:val="FF0000"/>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745284">
            <w:pPr>
              <w:spacing w:before="60" w:after="60" w:line="264" w:lineRule="auto"/>
              <w:jc w:val="center"/>
              <w:rPr>
                <w:rFonts w:cs="Arial"/>
                <w:b/>
                <w:bCs/>
                <w:color w:val="000000"/>
                <w:sz w:val="16"/>
                <w:szCs w:val="16"/>
              </w:rPr>
            </w:pPr>
            <w:r w:rsidRPr="001D7389">
              <w:rPr>
                <w:rFonts w:cs="Arial"/>
                <w:b/>
                <w:bCs/>
                <w:color w:val="000000"/>
                <w:sz w:val="16"/>
                <w:szCs w:val="16"/>
              </w:rPr>
              <w:t>Сектори</w:t>
            </w:r>
            <w:r>
              <w:rPr>
                <w:rFonts w:cs="Arial"/>
                <w:b/>
                <w:bCs/>
                <w:color w:val="000000"/>
                <w:sz w:val="16"/>
                <w:szCs w:val="16"/>
              </w:rPr>
              <w:t xml:space="preserve"> </w:t>
            </w:r>
            <w:r w:rsidRPr="001D7389">
              <w:rPr>
                <w:rFonts w:cs="Arial"/>
                <w:b/>
                <w:bCs/>
                <w:color w:val="000000"/>
                <w:sz w:val="16"/>
                <w:szCs w:val="16"/>
              </w:rPr>
              <w:t>−</w:t>
            </w:r>
            <w:r>
              <w:rPr>
                <w:rFonts w:cs="Arial"/>
                <w:b/>
                <w:bCs/>
                <w:color w:val="000000"/>
                <w:sz w:val="16"/>
                <w:szCs w:val="16"/>
              </w:rPr>
              <w:t xml:space="preserve"> </w:t>
            </w:r>
            <w:r w:rsidRPr="001D7389">
              <w:rPr>
                <w:rFonts w:cs="Arial"/>
                <w:b/>
                <w:bCs/>
                <w:color w:val="000000"/>
                <w:sz w:val="16"/>
                <w:szCs w:val="16"/>
              </w:rPr>
              <w:t>укупно</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745284">
            <w:pPr>
              <w:spacing w:before="60" w:after="60" w:line="264" w:lineRule="auto"/>
              <w:jc w:val="center"/>
              <w:rPr>
                <w:rFonts w:cs="Arial"/>
                <w:color w:val="000000"/>
                <w:sz w:val="16"/>
                <w:szCs w:val="16"/>
              </w:rPr>
            </w:pPr>
            <w:r w:rsidRPr="001D7389">
              <w:rPr>
                <w:rFonts w:cs="Arial"/>
                <w:color w:val="000000"/>
                <w:sz w:val="16"/>
                <w:szCs w:val="16"/>
              </w:rPr>
              <w:t>Нефинан-сијски  (пословни) сектор</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745284">
            <w:pPr>
              <w:spacing w:before="60" w:after="60" w:line="264" w:lineRule="auto"/>
              <w:jc w:val="center"/>
              <w:rPr>
                <w:rFonts w:cs="Arial"/>
                <w:color w:val="000000"/>
                <w:sz w:val="16"/>
                <w:szCs w:val="16"/>
              </w:rPr>
            </w:pPr>
            <w:r w:rsidRPr="001D7389">
              <w:rPr>
                <w:rFonts w:cs="Arial"/>
                <w:color w:val="000000"/>
                <w:sz w:val="16"/>
                <w:szCs w:val="16"/>
              </w:rPr>
              <w:t>Сектор државе</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745284">
            <w:pPr>
              <w:spacing w:before="60" w:after="60" w:line="264" w:lineRule="auto"/>
              <w:jc w:val="center"/>
              <w:rPr>
                <w:rFonts w:cs="Arial"/>
                <w:color w:val="000000"/>
                <w:sz w:val="16"/>
                <w:szCs w:val="16"/>
              </w:rPr>
            </w:pPr>
            <w:r w:rsidRPr="001D7389">
              <w:rPr>
                <w:rFonts w:cs="Arial"/>
                <w:color w:val="000000"/>
                <w:sz w:val="16"/>
                <w:szCs w:val="16"/>
              </w:rPr>
              <w:t>Високо образовање</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97F" w:rsidRPr="001D7389" w:rsidRDefault="00D5497F" w:rsidP="00745284">
            <w:pPr>
              <w:spacing w:before="60" w:after="60" w:line="264" w:lineRule="auto"/>
              <w:jc w:val="center"/>
              <w:rPr>
                <w:rFonts w:cs="Arial"/>
                <w:color w:val="000000"/>
                <w:sz w:val="16"/>
                <w:szCs w:val="16"/>
              </w:rPr>
            </w:pPr>
            <w:r w:rsidRPr="001D7389">
              <w:rPr>
                <w:rFonts w:cs="Arial"/>
                <w:color w:val="000000"/>
                <w:sz w:val="16"/>
                <w:szCs w:val="16"/>
              </w:rPr>
              <w:t>Приватни непрофитни сектор</w:t>
            </w:r>
          </w:p>
        </w:tc>
        <w:tc>
          <w:tcPr>
            <w:tcW w:w="1077" w:type="dxa"/>
            <w:tcBorders>
              <w:top w:val="single" w:sz="4" w:space="0" w:color="auto"/>
              <w:left w:val="single" w:sz="4" w:space="0" w:color="auto"/>
              <w:bottom w:val="single" w:sz="4" w:space="0" w:color="auto"/>
            </w:tcBorders>
            <w:shd w:val="clear" w:color="auto" w:fill="auto"/>
            <w:vAlign w:val="center"/>
            <w:hideMark/>
          </w:tcPr>
          <w:p w:rsidR="00D5497F" w:rsidRPr="001D7389" w:rsidRDefault="00D5497F" w:rsidP="00745284">
            <w:pPr>
              <w:spacing w:before="60" w:after="60" w:line="264" w:lineRule="auto"/>
              <w:jc w:val="center"/>
              <w:rPr>
                <w:rFonts w:cs="Arial"/>
                <w:color w:val="000000"/>
                <w:sz w:val="16"/>
                <w:szCs w:val="16"/>
              </w:rPr>
            </w:pPr>
            <w:r w:rsidRPr="001D7389">
              <w:rPr>
                <w:rFonts w:cs="Arial"/>
                <w:color w:val="000000"/>
                <w:sz w:val="16"/>
                <w:szCs w:val="16"/>
              </w:rPr>
              <w:t>Међународне организације</w:t>
            </w:r>
          </w:p>
        </w:tc>
      </w:tr>
      <w:tr w:rsidR="00D5497F" w:rsidRPr="001D7389" w:rsidTr="00D5497F">
        <w:trPr>
          <w:trHeight w:val="20"/>
          <w:jc w:val="center"/>
        </w:trPr>
        <w:tc>
          <w:tcPr>
            <w:tcW w:w="3686" w:type="dxa"/>
            <w:tcBorders>
              <w:top w:val="single" w:sz="4" w:space="0" w:color="auto"/>
              <w:right w:val="single" w:sz="4" w:space="0" w:color="auto"/>
            </w:tcBorders>
            <w:shd w:val="clear" w:color="auto" w:fill="auto"/>
            <w:noWrap/>
            <w:vAlign w:val="bottom"/>
          </w:tcPr>
          <w:p w:rsidR="00D5497F" w:rsidRPr="001D7389" w:rsidRDefault="00D5497F" w:rsidP="00745284">
            <w:pPr>
              <w:spacing w:line="288" w:lineRule="auto"/>
              <w:rPr>
                <w:rFonts w:cs="Arial"/>
                <w:b/>
                <w:bCs/>
                <w:color w:val="000000"/>
                <w:sz w:val="16"/>
                <w:szCs w:val="16"/>
              </w:rPr>
            </w:pPr>
          </w:p>
        </w:tc>
        <w:tc>
          <w:tcPr>
            <w:tcW w:w="1077" w:type="dxa"/>
            <w:tcBorders>
              <w:top w:val="single" w:sz="4" w:space="0" w:color="auto"/>
              <w:left w:val="single" w:sz="4" w:space="0" w:color="auto"/>
            </w:tcBorders>
            <w:shd w:val="clear" w:color="auto" w:fill="auto"/>
            <w:noWrap/>
            <w:vAlign w:val="bottom"/>
          </w:tcPr>
          <w:p w:rsidR="00D5497F" w:rsidRPr="001D7389" w:rsidRDefault="00D5497F" w:rsidP="00745284">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745284">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745284">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745284">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745284">
            <w:pPr>
              <w:spacing w:line="288" w:lineRule="auto"/>
              <w:jc w:val="right"/>
              <w:rPr>
                <w:rFonts w:cs="Arial"/>
                <w:color w:val="000000"/>
                <w:sz w:val="16"/>
                <w:szCs w:val="16"/>
              </w:rPr>
            </w:pPr>
          </w:p>
        </w:tc>
        <w:tc>
          <w:tcPr>
            <w:tcW w:w="1077" w:type="dxa"/>
            <w:tcBorders>
              <w:top w:val="single" w:sz="4" w:space="0" w:color="auto"/>
            </w:tcBorders>
            <w:shd w:val="clear" w:color="auto" w:fill="auto"/>
            <w:noWrap/>
            <w:vAlign w:val="bottom"/>
          </w:tcPr>
          <w:p w:rsidR="00D5497F" w:rsidRPr="001D7389" w:rsidRDefault="00D5497F" w:rsidP="00745284">
            <w:pPr>
              <w:spacing w:line="288" w:lineRule="auto"/>
              <w:jc w:val="right"/>
              <w:rPr>
                <w:rFonts w:cs="Arial"/>
                <w:color w:val="000000"/>
                <w:sz w:val="16"/>
                <w:szCs w:val="16"/>
              </w:rPr>
            </w:pPr>
          </w:p>
        </w:tc>
      </w:tr>
      <w:tr w:rsidR="00C364EF" w:rsidRPr="006B45AC" w:rsidTr="00D5497F">
        <w:trPr>
          <w:trHeight w:val="20"/>
          <w:jc w:val="center"/>
        </w:trPr>
        <w:tc>
          <w:tcPr>
            <w:tcW w:w="3686" w:type="dxa"/>
            <w:tcBorders>
              <w:right w:val="single" w:sz="4" w:space="0" w:color="auto"/>
            </w:tcBorders>
            <w:shd w:val="clear" w:color="auto" w:fill="auto"/>
            <w:noWrap/>
            <w:vAlign w:val="bottom"/>
          </w:tcPr>
          <w:p w:rsidR="00C364EF" w:rsidRPr="006B45AC" w:rsidRDefault="00C364EF" w:rsidP="00C364EF">
            <w:pPr>
              <w:rPr>
                <w:rFonts w:cs="Arial"/>
                <w:b/>
                <w:color w:val="000000"/>
                <w:sz w:val="16"/>
                <w:szCs w:val="16"/>
              </w:rPr>
            </w:pPr>
            <w:r w:rsidRPr="006B45AC">
              <w:rPr>
                <w:rFonts w:cs="Arial"/>
                <w:b/>
                <w:color w:val="000000"/>
                <w:sz w:val="16"/>
                <w:szCs w:val="16"/>
              </w:rPr>
              <w:t>УКУПНО</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b/>
                <w:color w:val="000000"/>
                <w:sz w:val="16"/>
                <w:szCs w:val="16"/>
              </w:rPr>
            </w:pPr>
            <w:r w:rsidRPr="006B45AC">
              <w:rPr>
                <w:rFonts w:cs="Arial"/>
                <w:b/>
                <w:color w:val="000000"/>
                <w:sz w:val="16"/>
                <w:szCs w:val="16"/>
              </w:rPr>
              <w:t>16312531</w:t>
            </w:r>
          </w:p>
        </w:tc>
        <w:tc>
          <w:tcPr>
            <w:tcW w:w="1077" w:type="dxa"/>
            <w:shd w:val="clear" w:color="auto" w:fill="auto"/>
            <w:noWrap/>
            <w:vAlign w:val="bottom"/>
          </w:tcPr>
          <w:p w:rsidR="00C364EF" w:rsidRPr="006B45AC" w:rsidRDefault="00C364EF" w:rsidP="00C364EF">
            <w:pPr>
              <w:jc w:val="right"/>
              <w:rPr>
                <w:rFonts w:cs="Arial"/>
                <w:b/>
                <w:color w:val="000000"/>
                <w:sz w:val="16"/>
                <w:szCs w:val="16"/>
              </w:rPr>
            </w:pPr>
            <w:r w:rsidRPr="006B45AC">
              <w:rPr>
                <w:rFonts w:cs="Arial"/>
                <w:b/>
                <w:color w:val="000000"/>
                <w:sz w:val="16"/>
                <w:szCs w:val="16"/>
              </w:rPr>
              <w:t>638057</w:t>
            </w:r>
          </w:p>
        </w:tc>
        <w:tc>
          <w:tcPr>
            <w:tcW w:w="1077" w:type="dxa"/>
            <w:shd w:val="clear" w:color="auto" w:fill="auto"/>
            <w:noWrap/>
            <w:vAlign w:val="bottom"/>
          </w:tcPr>
          <w:p w:rsidR="00C364EF" w:rsidRPr="006B45AC" w:rsidRDefault="00C364EF" w:rsidP="00C364EF">
            <w:pPr>
              <w:jc w:val="right"/>
              <w:rPr>
                <w:rFonts w:cs="Arial"/>
                <w:b/>
                <w:color w:val="000000"/>
                <w:sz w:val="16"/>
                <w:szCs w:val="16"/>
              </w:rPr>
            </w:pPr>
            <w:r w:rsidRPr="006B45AC">
              <w:rPr>
                <w:rFonts w:cs="Arial"/>
                <w:b/>
                <w:color w:val="000000"/>
                <w:sz w:val="16"/>
                <w:szCs w:val="16"/>
              </w:rPr>
              <w:t>7744423</w:t>
            </w:r>
          </w:p>
        </w:tc>
        <w:tc>
          <w:tcPr>
            <w:tcW w:w="1077" w:type="dxa"/>
            <w:shd w:val="clear" w:color="auto" w:fill="auto"/>
            <w:noWrap/>
            <w:vAlign w:val="bottom"/>
          </w:tcPr>
          <w:p w:rsidR="00C364EF" w:rsidRPr="006B45AC" w:rsidRDefault="00C364EF" w:rsidP="00C364EF">
            <w:pPr>
              <w:jc w:val="right"/>
              <w:rPr>
                <w:rFonts w:cs="Arial"/>
                <w:b/>
                <w:color w:val="000000"/>
                <w:sz w:val="16"/>
                <w:szCs w:val="16"/>
              </w:rPr>
            </w:pPr>
            <w:r w:rsidRPr="006B45AC">
              <w:rPr>
                <w:rFonts w:cs="Arial"/>
                <w:b/>
                <w:color w:val="000000"/>
                <w:sz w:val="16"/>
                <w:szCs w:val="16"/>
              </w:rPr>
              <w:t>6015353</w:t>
            </w:r>
          </w:p>
        </w:tc>
        <w:tc>
          <w:tcPr>
            <w:tcW w:w="1077" w:type="dxa"/>
            <w:shd w:val="clear" w:color="auto" w:fill="auto"/>
            <w:noWrap/>
            <w:vAlign w:val="bottom"/>
          </w:tcPr>
          <w:p w:rsidR="00C364EF" w:rsidRPr="006B45AC" w:rsidRDefault="00C364EF" w:rsidP="00C364EF">
            <w:pPr>
              <w:jc w:val="right"/>
              <w:rPr>
                <w:rFonts w:cs="Arial"/>
                <w:b/>
                <w:color w:val="000000"/>
                <w:sz w:val="16"/>
                <w:szCs w:val="16"/>
              </w:rPr>
            </w:pPr>
            <w:r w:rsidRPr="006B45AC">
              <w:rPr>
                <w:rFonts w:cs="Arial"/>
                <w:b/>
                <w:color w:val="000000"/>
                <w:sz w:val="16"/>
                <w:szCs w:val="16"/>
              </w:rPr>
              <w:t>232918</w:t>
            </w:r>
          </w:p>
        </w:tc>
        <w:tc>
          <w:tcPr>
            <w:tcW w:w="1077" w:type="dxa"/>
            <w:shd w:val="clear" w:color="auto" w:fill="auto"/>
            <w:noWrap/>
            <w:vAlign w:val="bottom"/>
          </w:tcPr>
          <w:p w:rsidR="00C364EF" w:rsidRPr="006B45AC" w:rsidRDefault="00C364EF" w:rsidP="00C364EF">
            <w:pPr>
              <w:jc w:val="right"/>
              <w:rPr>
                <w:rFonts w:cs="Arial"/>
                <w:b/>
                <w:color w:val="000000"/>
                <w:sz w:val="16"/>
                <w:szCs w:val="16"/>
              </w:rPr>
            </w:pPr>
            <w:r w:rsidRPr="006B45AC">
              <w:rPr>
                <w:rFonts w:cs="Arial"/>
                <w:b/>
                <w:color w:val="000000"/>
                <w:sz w:val="16"/>
                <w:szCs w:val="16"/>
              </w:rPr>
              <w:t>1681780</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Истраживање и експлоатација Земље</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124800</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46068</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78732</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Очување животне средине</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365021</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14111</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350910</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Истраживање и експлоатација свемира</w:t>
            </w:r>
          </w:p>
        </w:tc>
        <w:tc>
          <w:tcPr>
            <w:tcW w:w="1077" w:type="dxa"/>
            <w:tcBorders>
              <w:left w:val="single" w:sz="4" w:space="0" w:color="auto"/>
            </w:tcBorders>
            <w:shd w:val="clear" w:color="000000" w:fill="FFFFFF"/>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13729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000000" w:fill="FFFFFF"/>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13729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Транспорт, телекомуникације и остале инфраструктуре</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353732</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140348</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213384</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Енергија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174226</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34647</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139579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Индустријска прооизводња и технологија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2498832</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216338</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2282494</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Здравство</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362014</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29091</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332923</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Пољопривреда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1423357</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72172</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1351185</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Образовање</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88667</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3246</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62320</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23101</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Култура, рекреација, религија и масовни медији</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182811</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50542</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82749</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47420</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2100</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Политички и друштвени системи, структуре и процеси</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398414</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258</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398156</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981249" w:rsidRDefault="00141487" w:rsidP="00141487">
            <w:pPr>
              <w:rPr>
                <w:rFonts w:cs="Arial"/>
                <w:i/>
                <w:color w:val="000000"/>
                <w:sz w:val="16"/>
                <w:szCs w:val="16"/>
                <w:lang w:val="sr-Cyrl-RS"/>
              </w:rPr>
            </w:pPr>
            <w:r w:rsidRPr="00981249">
              <w:rPr>
                <w:rFonts w:cs="Arial"/>
                <w:i/>
                <w:color w:val="000000"/>
                <w:sz w:val="16"/>
                <w:szCs w:val="16"/>
              </w:rPr>
              <w:t xml:space="preserve">Опште унапређење знања: </w:t>
            </w:r>
            <w:r w:rsidR="00C364EF" w:rsidRPr="00981249">
              <w:rPr>
                <w:rFonts w:cs="Arial"/>
                <w:i/>
                <w:color w:val="000000"/>
                <w:sz w:val="16"/>
                <w:szCs w:val="16"/>
              </w:rPr>
              <w:t>И</w:t>
            </w:r>
            <w:r w:rsidRPr="00981249">
              <w:rPr>
                <w:rFonts w:cs="Arial"/>
                <w:i/>
                <w:color w:val="000000"/>
                <w:sz w:val="16"/>
                <w:szCs w:val="16"/>
              </w:rPr>
              <w:t>Р ф</w:t>
            </w:r>
            <w:r w:rsidR="00C364EF" w:rsidRPr="00981249">
              <w:rPr>
                <w:rFonts w:cs="Arial"/>
                <w:i/>
                <w:color w:val="000000"/>
                <w:sz w:val="16"/>
                <w:szCs w:val="16"/>
              </w:rPr>
              <w:t>ина</w:t>
            </w:r>
            <w:r w:rsidRPr="00981249">
              <w:rPr>
                <w:rFonts w:cs="Arial"/>
                <w:i/>
                <w:color w:val="000000"/>
                <w:sz w:val="16"/>
                <w:szCs w:val="16"/>
              </w:rPr>
              <w:t>н</w:t>
            </w:r>
            <w:r w:rsidR="00C364EF" w:rsidRPr="00981249">
              <w:rPr>
                <w:rFonts w:cs="Arial"/>
                <w:i/>
                <w:color w:val="000000"/>
                <w:sz w:val="16"/>
                <w:szCs w:val="16"/>
              </w:rPr>
              <w:t>сирани из општих фондова унивезитета</w:t>
            </w:r>
            <w:r w:rsidRPr="00981249">
              <w:rPr>
                <w:rFonts w:cs="Arial"/>
                <w:i/>
                <w:color w:val="000000"/>
                <w:sz w:val="16"/>
                <w:szCs w:val="16"/>
              </w:rPr>
              <w:t xml:space="preserve"> - ГУФ</w:t>
            </w:r>
          </w:p>
        </w:tc>
        <w:tc>
          <w:tcPr>
            <w:tcW w:w="1077" w:type="dxa"/>
            <w:tcBorders>
              <w:left w:val="single" w:sz="4" w:space="0" w:color="auto"/>
            </w:tcBorders>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7387039</w:t>
            </w:r>
          </w:p>
        </w:tc>
        <w:tc>
          <w:tcPr>
            <w:tcW w:w="1077" w:type="dxa"/>
            <w:shd w:val="clear" w:color="auto" w:fill="auto"/>
            <w:noWrap/>
            <w:vAlign w:val="bottom"/>
          </w:tcPr>
          <w:p w:rsidR="00C364EF" w:rsidRPr="00981249" w:rsidRDefault="006B45AC" w:rsidP="00C364EF">
            <w:pPr>
              <w:jc w:val="right"/>
              <w:rPr>
                <w:rFonts w:cs="Arial"/>
                <w:i/>
                <w:color w:val="000000"/>
                <w:sz w:val="16"/>
                <w:szCs w:val="16"/>
              </w:rPr>
            </w:pPr>
            <w:r w:rsidRPr="00981249">
              <w:rPr>
                <w:rFonts w:cs="Arial"/>
                <w:i/>
                <w:color w:val="000000"/>
                <w:sz w:val="16"/>
                <w:szCs w:val="16"/>
              </w:rPr>
              <w:t>-</w:t>
            </w:r>
          </w:p>
        </w:tc>
        <w:tc>
          <w:tcPr>
            <w:tcW w:w="1077" w:type="dxa"/>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1949706</w:t>
            </w:r>
          </w:p>
        </w:tc>
        <w:tc>
          <w:tcPr>
            <w:tcW w:w="1077" w:type="dxa"/>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5206515</w:t>
            </w:r>
          </w:p>
        </w:tc>
        <w:tc>
          <w:tcPr>
            <w:tcW w:w="1077" w:type="dxa"/>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230818</w:t>
            </w:r>
          </w:p>
        </w:tc>
        <w:tc>
          <w:tcPr>
            <w:tcW w:w="1077" w:type="dxa"/>
            <w:shd w:val="clear" w:color="auto" w:fill="auto"/>
            <w:noWrap/>
            <w:vAlign w:val="bottom"/>
          </w:tcPr>
          <w:p w:rsidR="00C364EF" w:rsidRPr="00981249" w:rsidRDefault="006B45AC" w:rsidP="00C364EF">
            <w:pPr>
              <w:jc w:val="right"/>
              <w:rPr>
                <w:rFonts w:cs="Arial"/>
                <w:i/>
                <w:color w:val="000000"/>
                <w:sz w:val="16"/>
                <w:szCs w:val="16"/>
              </w:rPr>
            </w:pPr>
            <w:r w:rsidRPr="00981249">
              <w:rPr>
                <w:rFonts w:cs="Arial"/>
                <w:i/>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природним наукама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440939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430688</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10251</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инжењерству и технологији</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2865396</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1269857</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1386939</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208600</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медицинским и здравственим наукама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1738850</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1716632</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22218</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36"/>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пољопривредним наукама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691399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691399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друштвеним наукама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748986</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249161</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499825</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хуманистичким наукама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901469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901469</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981249" w:rsidRDefault="00141487" w:rsidP="00141487">
            <w:pPr>
              <w:rPr>
                <w:rFonts w:cs="Arial"/>
                <w:i/>
                <w:color w:val="000000"/>
                <w:sz w:val="16"/>
                <w:szCs w:val="16"/>
              </w:rPr>
            </w:pPr>
            <w:r w:rsidRPr="00981249">
              <w:rPr>
                <w:rFonts w:cs="Arial"/>
                <w:i/>
                <w:color w:val="000000"/>
                <w:sz w:val="16"/>
                <w:szCs w:val="16"/>
              </w:rPr>
              <w:t>Опште унапређење знања</w:t>
            </w:r>
            <w:r w:rsidRPr="00981249">
              <w:rPr>
                <w:rFonts w:cs="Arial"/>
                <w:i/>
                <w:color w:val="000000"/>
                <w:sz w:val="16"/>
                <w:szCs w:val="16"/>
                <w:lang w:val="sr-Cyrl-RS"/>
              </w:rPr>
              <w:t>:</w:t>
            </w:r>
            <w:r w:rsidRPr="00981249">
              <w:rPr>
                <w:rFonts w:cs="Arial"/>
                <w:i/>
                <w:color w:val="000000"/>
                <w:sz w:val="16"/>
                <w:szCs w:val="16"/>
              </w:rPr>
              <w:t xml:space="preserve"> ИР</w:t>
            </w:r>
            <w:r w:rsidRPr="00981249">
              <w:rPr>
                <w:rFonts w:cs="Arial"/>
                <w:i/>
                <w:color w:val="000000"/>
                <w:sz w:val="16"/>
                <w:szCs w:val="16"/>
                <w:lang w:val="sr-Cyrl-RS"/>
              </w:rPr>
              <w:t xml:space="preserve"> ф</w:t>
            </w:r>
            <w:r w:rsidR="00C364EF" w:rsidRPr="00981249">
              <w:rPr>
                <w:rFonts w:cs="Arial"/>
                <w:i/>
                <w:color w:val="000000"/>
                <w:sz w:val="16"/>
                <w:szCs w:val="16"/>
              </w:rPr>
              <w:t>инансирани из других извора - не из општих фондова универзитета</w:t>
            </w:r>
          </w:p>
        </w:tc>
        <w:tc>
          <w:tcPr>
            <w:tcW w:w="1077" w:type="dxa"/>
            <w:tcBorders>
              <w:left w:val="single" w:sz="4" w:space="0" w:color="auto"/>
            </w:tcBorders>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2493332</w:t>
            </w:r>
          </w:p>
        </w:tc>
        <w:tc>
          <w:tcPr>
            <w:tcW w:w="1077" w:type="dxa"/>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31205</w:t>
            </w:r>
          </w:p>
        </w:tc>
        <w:tc>
          <w:tcPr>
            <w:tcW w:w="1077" w:type="dxa"/>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42030</w:t>
            </w:r>
          </w:p>
        </w:tc>
        <w:tc>
          <w:tcPr>
            <w:tcW w:w="1077" w:type="dxa"/>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738317</w:t>
            </w:r>
          </w:p>
        </w:tc>
        <w:tc>
          <w:tcPr>
            <w:tcW w:w="1077" w:type="dxa"/>
            <w:shd w:val="clear" w:color="auto" w:fill="auto"/>
            <w:noWrap/>
            <w:vAlign w:val="bottom"/>
          </w:tcPr>
          <w:p w:rsidR="00C364EF" w:rsidRPr="00981249" w:rsidRDefault="006B45AC" w:rsidP="00C364EF">
            <w:pPr>
              <w:jc w:val="right"/>
              <w:rPr>
                <w:rFonts w:cs="Arial"/>
                <w:i/>
                <w:color w:val="000000"/>
                <w:sz w:val="16"/>
                <w:szCs w:val="16"/>
              </w:rPr>
            </w:pPr>
            <w:r w:rsidRPr="00981249">
              <w:rPr>
                <w:rFonts w:cs="Arial"/>
                <w:i/>
                <w:color w:val="000000"/>
                <w:sz w:val="16"/>
                <w:szCs w:val="16"/>
              </w:rPr>
              <w:t>-</w:t>
            </w:r>
          </w:p>
        </w:tc>
        <w:tc>
          <w:tcPr>
            <w:tcW w:w="1077" w:type="dxa"/>
            <w:shd w:val="clear" w:color="auto" w:fill="auto"/>
            <w:noWrap/>
            <w:vAlign w:val="bottom"/>
          </w:tcPr>
          <w:p w:rsidR="00C364EF" w:rsidRPr="00981249" w:rsidRDefault="00C364EF" w:rsidP="00C364EF">
            <w:pPr>
              <w:jc w:val="right"/>
              <w:rPr>
                <w:rFonts w:cs="Arial"/>
                <w:i/>
                <w:color w:val="000000"/>
                <w:sz w:val="16"/>
                <w:szCs w:val="16"/>
              </w:rPr>
            </w:pPr>
            <w:r w:rsidRPr="00981249">
              <w:rPr>
                <w:rFonts w:cs="Arial"/>
                <w:i/>
                <w:color w:val="000000"/>
                <w:sz w:val="16"/>
                <w:szCs w:val="16"/>
              </w:rPr>
              <w:t>1681780</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природним наукама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2447868</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27771</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738317</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1681780</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инжењерству и технологији</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45432</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31205</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14227</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 xml:space="preserve">     ИР у медицинским и здравственим наукама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32</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32</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r w:rsidR="00C364EF" w:rsidRPr="006B45AC" w:rsidTr="00D5497F">
        <w:trPr>
          <w:trHeight w:val="20"/>
          <w:jc w:val="center"/>
        </w:trPr>
        <w:tc>
          <w:tcPr>
            <w:tcW w:w="3686" w:type="dxa"/>
            <w:tcBorders>
              <w:right w:val="single" w:sz="4" w:space="0" w:color="auto"/>
            </w:tcBorders>
            <w:shd w:val="clear" w:color="auto" w:fill="auto"/>
            <w:vAlign w:val="bottom"/>
          </w:tcPr>
          <w:p w:rsidR="00C364EF" w:rsidRPr="006B45AC" w:rsidRDefault="00C364EF" w:rsidP="00C364EF">
            <w:pPr>
              <w:rPr>
                <w:rFonts w:cs="Arial"/>
                <w:color w:val="000000"/>
                <w:sz w:val="16"/>
                <w:szCs w:val="16"/>
              </w:rPr>
            </w:pPr>
            <w:r w:rsidRPr="006B45AC">
              <w:rPr>
                <w:rFonts w:cs="Arial"/>
                <w:color w:val="000000"/>
                <w:sz w:val="16"/>
                <w:szCs w:val="16"/>
              </w:rPr>
              <w:t>Одбрана</w:t>
            </w:r>
          </w:p>
        </w:tc>
        <w:tc>
          <w:tcPr>
            <w:tcW w:w="1077" w:type="dxa"/>
            <w:tcBorders>
              <w:left w:val="single" w:sz="4" w:space="0" w:color="auto"/>
            </w:tcBorders>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446557</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31</w:t>
            </w:r>
          </w:p>
        </w:tc>
        <w:tc>
          <w:tcPr>
            <w:tcW w:w="1077" w:type="dxa"/>
            <w:shd w:val="clear" w:color="auto" w:fill="auto"/>
            <w:noWrap/>
            <w:vAlign w:val="bottom"/>
          </w:tcPr>
          <w:p w:rsidR="00C364EF" w:rsidRPr="006B45AC" w:rsidRDefault="00C364EF" w:rsidP="00C364EF">
            <w:pPr>
              <w:jc w:val="right"/>
              <w:rPr>
                <w:rFonts w:cs="Arial"/>
                <w:color w:val="000000"/>
                <w:sz w:val="16"/>
                <w:szCs w:val="16"/>
              </w:rPr>
            </w:pPr>
            <w:r w:rsidRPr="006B45AC">
              <w:rPr>
                <w:rFonts w:cs="Arial"/>
                <w:color w:val="000000"/>
                <w:sz w:val="16"/>
                <w:szCs w:val="16"/>
              </w:rPr>
              <w:t>446526</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c>
          <w:tcPr>
            <w:tcW w:w="1077" w:type="dxa"/>
            <w:shd w:val="clear" w:color="auto" w:fill="auto"/>
            <w:noWrap/>
            <w:vAlign w:val="bottom"/>
          </w:tcPr>
          <w:p w:rsidR="00C364EF" w:rsidRPr="006B45AC" w:rsidRDefault="006B45AC" w:rsidP="00C364EF">
            <w:pPr>
              <w:jc w:val="right"/>
              <w:rPr>
                <w:rFonts w:cs="Arial"/>
                <w:color w:val="000000"/>
                <w:sz w:val="16"/>
                <w:szCs w:val="16"/>
              </w:rPr>
            </w:pPr>
            <w:r>
              <w:rPr>
                <w:rFonts w:cs="Arial"/>
                <w:color w:val="000000"/>
                <w:sz w:val="16"/>
                <w:szCs w:val="16"/>
              </w:rPr>
              <w:t>-</w:t>
            </w:r>
          </w:p>
        </w:tc>
      </w:tr>
    </w:tbl>
    <w:p w:rsidR="00D5497F" w:rsidRDefault="00D5497F" w:rsidP="00AC27BF">
      <w:pPr>
        <w:jc w:val="right"/>
        <w:rPr>
          <w:rFonts w:cs="Arial"/>
          <w:lang w:val="sr-Cyrl-RS"/>
        </w:rPr>
      </w:pPr>
    </w:p>
    <w:p w:rsidR="00D5497F" w:rsidRDefault="00D5497F" w:rsidP="00AC27BF">
      <w:pPr>
        <w:jc w:val="right"/>
        <w:rPr>
          <w:rFonts w:cs="Arial"/>
          <w:lang w:val="sr-Cyrl-RS"/>
        </w:rPr>
      </w:pPr>
    </w:p>
    <w:p w:rsidR="00D5497F" w:rsidRPr="00D5497F" w:rsidRDefault="00D5497F" w:rsidP="00AC27BF">
      <w:pPr>
        <w:jc w:val="right"/>
        <w:rPr>
          <w:rFonts w:cs="Arial"/>
          <w:sz w:val="16"/>
          <w:szCs w:val="16"/>
          <w:lang w:val="sr-Cyrl-RS"/>
        </w:rPr>
      </w:pPr>
    </w:p>
    <w:p w:rsidR="00D5497F" w:rsidRPr="00AD3E6B" w:rsidRDefault="00D5497F" w:rsidP="00D5497F">
      <w:pPr>
        <w:spacing w:before="120" w:after="120"/>
        <w:jc w:val="center"/>
        <w:rPr>
          <w:rFonts w:cs="Arial"/>
          <w:b/>
          <w:color w:val="000000"/>
          <w:sz w:val="18"/>
          <w:szCs w:val="18"/>
          <w:lang w:val="sr-Cyrl-RS"/>
        </w:rPr>
      </w:pPr>
      <w:proofErr w:type="gramStart"/>
      <w:r>
        <w:rPr>
          <w:rFonts w:cs="Arial"/>
          <w:b/>
          <w:color w:val="000000"/>
          <w:sz w:val="18"/>
          <w:szCs w:val="18"/>
        </w:rPr>
        <w:t xml:space="preserve">Граф. </w:t>
      </w:r>
      <w:r w:rsidRPr="00B66A0D">
        <w:rPr>
          <w:rFonts w:cs="Arial"/>
          <w:b/>
          <w:color w:val="000000"/>
          <w:sz w:val="18"/>
          <w:szCs w:val="18"/>
        </w:rPr>
        <w:t>2.</w:t>
      </w:r>
      <w:proofErr w:type="gramEnd"/>
      <w:r w:rsidRPr="00B66A0D">
        <w:rPr>
          <w:rFonts w:cs="Arial"/>
          <w:b/>
          <w:color w:val="000000"/>
          <w:sz w:val="18"/>
          <w:szCs w:val="18"/>
        </w:rPr>
        <w:t xml:space="preserve"> </w:t>
      </w:r>
      <w:proofErr w:type="gramStart"/>
      <w:r w:rsidRPr="00B66A0D">
        <w:rPr>
          <w:rFonts w:cs="Arial"/>
          <w:b/>
          <w:color w:val="000000"/>
          <w:sz w:val="18"/>
          <w:szCs w:val="18"/>
        </w:rPr>
        <w:t>Удео буџетских средстава за ИР, према друштвено-економским циљевима (стварни издаци),</w:t>
      </w:r>
      <w:r>
        <w:rPr>
          <w:rFonts w:cs="Arial"/>
          <w:b/>
          <w:color w:val="000000"/>
          <w:sz w:val="18"/>
          <w:szCs w:val="18"/>
          <w:lang w:val="sr-Latn-RS"/>
        </w:rPr>
        <w:t xml:space="preserve">                              </w:t>
      </w:r>
      <w:r>
        <w:rPr>
          <w:rFonts w:cs="Arial"/>
          <w:b/>
          <w:color w:val="000000"/>
          <w:sz w:val="18"/>
          <w:szCs w:val="18"/>
        </w:rPr>
        <w:t xml:space="preserve"> </w:t>
      </w:r>
      <w:r w:rsidRPr="00B66A0D">
        <w:rPr>
          <w:rFonts w:cs="Arial"/>
          <w:b/>
          <w:color w:val="000000"/>
          <w:sz w:val="18"/>
          <w:szCs w:val="18"/>
        </w:rPr>
        <w:t>у укупним буџетским издацима за ИР 201</w:t>
      </w:r>
      <w:r w:rsidR="00745284">
        <w:rPr>
          <w:rFonts w:cs="Arial"/>
          <w:b/>
          <w:color w:val="000000"/>
          <w:sz w:val="18"/>
          <w:szCs w:val="18"/>
        </w:rPr>
        <w:t>6</w:t>
      </w:r>
      <w:r w:rsidRPr="00B66A0D">
        <w:rPr>
          <w:rFonts w:cs="Arial"/>
          <w:b/>
          <w:color w:val="000000"/>
          <w:sz w:val="18"/>
          <w:szCs w:val="18"/>
        </w:rPr>
        <w:t>.</w:t>
      </w:r>
      <w:proofErr w:type="gramEnd"/>
      <w:r w:rsidRPr="00B66A0D">
        <w:rPr>
          <w:rFonts w:cs="Arial"/>
          <w:b/>
          <w:color w:val="000000"/>
          <w:sz w:val="18"/>
          <w:szCs w:val="18"/>
        </w:rPr>
        <w:t xml:space="preserve"> </w:t>
      </w:r>
      <w:r w:rsidR="00AD3E6B">
        <w:rPr>
          <w:rFonts w:cs="Arial"/>
          <w:b/>
          <w:color w:val="000000"/>
          <w:sz w:val="18"/>
          <w:szCs w:val="18"/>
          <w:lang w:val="sr-Cyrl-RS"/>
        </w:rPr>
        <w:t>(%)</w:t>
      </w:r>
    </w:p>
    <w:p w:rsidR="00D5497F" w:rsidRPr="00B66A0D" w:rsidRDefault="008F5D75" w:rsidP="00D5497F">
      <w:pPr>
        <w:pStyle w:val="Texto"/>
        <w:tabs>
          <w:tab w:val="clear" w:pos="397"/>
          <w:tab w:val="left" w:pos="176"/>
        </w:tabs>
        <w:spacing w:before="0"/>
        <w:ind w:left="0"/>
        <w:jc w:val="center"/>
        <w:rPr>
          <w:rFonts w:ascii="Arial" w:hAnsi="Arial" w:cs="Arial"/>
        </w:rPr>
      </w:pPr>
      <w:r>
        <w:rPr>
          <w:noProof/>
          <w:lang w:val="en-US" w:eastAsia="en-US"/>
        </w:rPr>
        <w:drawing>
          <wp:inline distT="0" distB="0" distL="0" distR="0" wp14:anchorId="769513AF" wp14:editId="21694A40">
            <wp:extent cx="6448425" cy="3114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45AC" w:rsidRDefault="006B45AC">
      <w:pPr>
        <w:rPr>
          <w:rFonts w:cs="Arial"/>
          <w:szCs w:val="20"/>
          <w:lang w:val="en-GB" w:eastAsia="es-ES"/>
        </w:rPr>
      </w:pPr>
      <w:r>
        <w:rPr>
          <w:rFonts w:cs="Arial"/>
        </w:rPr>
        <w:br w:type="page"/>
      </w:r>
    </w:p>
    <w:p w:rsidR="00B66A0D" w:rsidRPr="00B66A0D" w:rsidRDefault="00B66A0D" w:rsidP="00B66A0D">
      <w:pPr>
        <w:pStyle w:val="Texto"/>
        <w:tabs>
          <w:tab w:val="clear" w:pos="397"/>
          <w:tab w:val="left" w:pos="176"/>
        </w:tabs>
        <w:spacing w:before="0"/>
        <w:ind w:left="360"/>
        <w:jc w:val="left"/>
        <w:rPr>
          <w:rFonts w:ascii="Arial" w:hAnsi="Arial" w:cs="Arial"/>
        </w:rPr>
      </w:pPr>
    </w:p>
    <w:p w:rsidR="007C0DE1" w:rsidRDefault="007C0DE1" w:rsidP="00D5497F">
      <w:pPr>
        <w:spacing w:after="60"/>
        <w:ind w:left="284" w:hanging="284"/>
        <w:rPr>
          <w:rFonts w:cs="Arial"/>
          <w:b/>
          <w:lang w:val="sr-Cyrl-CS"/>
        </w:rPr>
      </w:pPr>
      <w:r>
        <w:rPr>
          <w:rFonts w:cs="Arial"/>
          <w:b/>
          <w:lang w:val="sr-Cyrl-CS"/>
        </w:rPr>
        <w:t xml:space="preserve">3. </w:t>
      </w:r>
      <w:r w:rsidRPr="00B66A0D">
        <w:rPr>
          <w:rFonts w:cs="Arial"/>
          <w:b/>
          <w:lang w:val="sr-Cyrl-CS"/>
        </w:rPr>
        <w:t>Буџетска средства Републике Србије за ИР према друштвено-економским циљевима</w:t>
      </w:r>
      <w:r w:rsidR="00D5497F">
        <w:rPr>
          <w:rFonts w:cs="Arial"/>
          <w:b/>
          <w:lang w:val="sr-Cyrl-CS"/>
        </w:rPr>
        <w:t xml:space="preserve"> </w:t>
      </w:r>
      <w:r w:rsidR="00AD3E6B">
        <w:rPr>
          <w:rFonts w:cs="Arial"/>
          <w:b/>
          <w:lang w:val="sr-Cyrl-CS"/>
        </w:rPr>
        <w:t xml:space="preserve">                    </w:t>
      </w:r>
      <w:r w:rsidRPr="00B66A0D">
        <w:rPr>
          <w:rFonts w:cs="Arial"/>
          <w:b/>
          <w:lang w:val="sr-Cyrl-CS"/>
        </w:rPr>
        <w:t>(усвојени буџет пре ребаланса),</w:t>
      </w:r>
      <w:r>
        <w:rPr>
          <w:rFonts w:cs="Arial"/>
          <w:b/>
          <w:lang w:val="sr-Cyrl-CS"/>
        </w:rPr>
        <w:t xml:space="preserve"> </w:t>
      </w:r>
      <w:r w:rsidRPr="00B66A0D">
        <w:rPr>
          <w:rFonts w:cs="Arial"/>
          <w:b/>
          <w:lang w:val="sr-Cyrl-CS"/>
        </w:rPr>
        <w:t>201</w:t>
      </w:r>
      <w:r w:rsidR="00745284">
        <w:rPr>
          <w:rFonts w:cs="Arial"/>
          <w:b/>
          <w:lang w:val="sr-Cyrl-CS"/>
        </w:rPr>
        <w:t>7</w:t>
      </w:r>
      <w:r w:rsidRPr="00B66A0D">
        <w:rPr>
          <w:rFonts w:cs="Arial"/>
          <w:b/>
          <w:lang w:val="sr-Cyrl-CS"/>
        </w:rPr>
        <w:t>.</w:t>
      </w:r>
    </w:p>
    <w:tbl>
      <w:tblPr>
        <w:tblW w:w="8755" w:type="dxa"/>
        <w:tblInd w:w="57" w:type="dxa"/>
        <w:tblCellMar>
          <w:left w:w="28" w:type="dxa"/>
          <w:right w:w="28" w:type="dxa"/>
        </w:tblCellMar>
        <w:tblLook w:val="04A0" w:firstRow="1" w:lastRow="0" w:firstColumn="1" w:lastColumn="0" w:noHBand="0" w:noVBand="1"/>
      </w:tblPr>
      <w:tblGrid>
        <w:gridCol w:w="5785"/>
        <w:gridCol w:w="2970"/>
      </w:tblGrid>
      <w:tr w:rsidR="00D5497F" w:rsidRPr="002044DF" w:rsidTr="00D5497F">
        <w:trPr>
          <w:trHeight w:val="20"/>
        </w:trPr>
        <w:tc>
          <w:tcPr>
            <w:tcW w:w="8755" w:type="dxa"/>
            <w:gridSpan w:val="2"/>
            <w:tcBorders>
              <w:bottom w:val="single" w:sz="4" w:space="0" w:color="auto"/>
            </w:tcBorders>
            <w:shd w:val="clear" w:color="auto" w:fill="auto"/>
            <w:noWrap/>
            <w:vAlign w:val="bottom"/>
          </w:tcPr>
          <w:p w:rsidR="00D5497F" w:rsidRDefault="00D5497F" w:rsidP="00D5497F">
            <w:pPr>
              <w:spacing w:after="60"/>
              <w:jc w:val="right"/>
              <w:rPr>
                <w:rFonts w:cs="Arial"/>
                <w:bCs/>
                <w:color w:val="000000"/>
                <w:sz w:val="16"/>
                <w:szCs w:val="16"/>
              </w:rPr>
            </w:pPr>
            <w:r w:rsidRPr="00AC27BF">
              <w:rPr>
                <w:rFonts w:cs="Arial"/>
                <w:sz w:val="16"/>
                <w:szCs w:val="16"/>
              </w:rPr>
              <w:t>Хиљ.РСД</w:t>
            </w:r>
          </w:p>
        </w:tc>
      </w:tr>
      <w:tr w:rsidR="00D5497F" w:rsidRPr="002044DF" w:rsidTr="00745284">
        <w:trPr>
          <w:trHeight w:val="20"/>
        </w:trPr>
        <w:tc>
          <w:tcPr>
            <w:tcW w:w="5785" w:type="dxa"/>
            <w:tcBorders>
              <w:top w:val="single" w:sz="4" w:space="0" w:color="auto"/>
              <w:bottom w:val="single" w:sz="4" w:space="0" w:color="auto"/>
              <w:right w:val="single" w:sz="4" w:space="0" w:color="auto"/>
            </w:tcBorders>
            <w:shd w:val="clear" w:color="auto" w:fill="auto"/>
            <w:noWrap/>
            <w:vAlign w:val="center"/>
            <w:hideMark/>
          </w:tcPr>
          <w:p w:rsidR="00D5497F" w:rsidRPr="002044DF" w:rsidRDefault="00D5497F" w:rsidP="00745284">
            <w:pPr>
              <w:spacing w:before="120" w:after="120" w:line="312" w:lineRule="auto"/>
              <w:rPr>
                <w:rFonts w:cs="Arial"/>
                <w:color w:val="000000"/>
                <w:sz w:val="16"/>
                <w:szCs w:val="16"/>
              </w:rPr>
            </w:pPr>
            <w:r w:rsidRPr="002044DF">
              <w:rPr>
                <w:rFonts w:cs="Arial"/>
                <w:color w:val="000000"/>
                <w:sz w:val="16"/>
                <w:szCs w:val="16"/>
              </w:rPr>
              <w:t xml:space="preserve">Друштвено-економски циљеви истраживања </w:t>
            </w:r>
          </w:p>
        </w:tc>
        <w:tc>
          <w:tcPr>
            <w:tcW w:w="2970" w:type="dxa"/>
            <w:tcBorders>
              <w:top w:val="single" w:sz="4" w:space="0" w:color="auto"/>
              <w:left w:val="nil"/>
              <w:bottom w:val="single" w:sz="4" w:space="0" w:color="auto"/>
            </w:tcBorders>
            <w:shd w:val="clear" w:color="auto" w:fill="auto"/>
            <w:noWrap/>
            <w:vAlign w:val="center"/>
            <w:hideMark/>
          </w:tcPr>
          <w:p w:rsidR="00D5497F" w:rsidRPr="000734CA" w:rsidRDefault="00CE084A" w:rsidP="001F5E9B">
            <w:pPr>
              <w:spacing w:before="120" w:after="120" w:line="312" w:lineRule="auto"/>
              <w:ind w:right="170"/>
              <w:jc w:val="center"/>
              <w:rPr>
                <w:rFonts w:cs="Arial"/>
                <w:bCs/>
                <w:color w:val="000000"/>
                <w:sz w:val="16"/>
                <w:szCs w:val="16"/>
              </w:rPr>
            </w:pPr>
            <w:r w:rsidRPr="00CE084A">
              <w:rPr>
                <w:rFonts w:cs="Arial"/>
                <w:bCs/>
                <w:color w:val="000000"/>
                <w:sz w:val="16"/>
                <w:szCs w:val="16"/>
              </w:rPr>
              <w:t xml:space="preserve">Планирани буџет за 2017. </w:t>
            </w:r>
            <w:proofErr w:type="gramStart"/>
            <w:r w:rsidRPr="00CE084A">
              <w:rPr>
                <w:rFonts w:cs="Arial"/>
                <w:bCs/>
                <w:color w:val="000000"/>
                <w:sz w:val="16"/>
                <w:szCs w:val="16"/>
              </w:rPr>
              <w:t>год</w:t>
            </w:r>
            <w:proofErr w:type="gramEnd"/>
            <w:r w:rsidRPr="00CE084A">
              <w:rPr>
                <w:rFonts w:cs="Arial"/>
                <w:bCs/>
                <w:color w:val="000000"/>
                <w:sz w:val="16"/>
                <w:szCs w:val="16"/>
              </w:rPr>
              <w:t>.</w:t>
            </w:r>
          </w:p>
        </w:tc>
      </w:tr>
      <w:tr w:rsidR="00D5497F" w:rsidRPr="002044DF" w:rsidTr="00745284">
        <w:trPr>
          <w:trHeight w:val="20"/>
        </w:trPr>
        <w:tc>
          <w:tcPr>
            <w:tcW w:w="5785" w:type="dxa"/>
            <w:tcBorders>
              <w:top w:val="nil"/>
              <w:left w:val="nil"/>
              <w:bottom w:val="nil"/>
              <w:right w:val="single" w:sz="4" w:space="0" w:color="auto"/>
            </w:tcBorders>
            <w:shd w:val="clear" w:color="auto" w:fill="auto"/>
            <w:noWrap/>
            <w:vAlign w:val="bottom"/>
          </w:tcPr>
          <w:p w:rsidR="00D5497F" w:rsidRPr="002044DF" w:rsidRDefault="00D5497F" w:rsidP="00745284">
            <w:pPr>
              <w:spacing w:line="312" w:lineRule="auto"/>
              <w:rPr>
                <w:rFonts w:cs="Arial"/>
                <w:b/>
                <w:bCs/>
                <w:color w:val="000000"/>
                <w:sz w:val="16"/>
                <w:szCs w:val="16"/>
              </w:rPr>
            </w:pPr>
          </w:p>
        </w:tc>
        <w:tc>
          <w:tcPr>
            <w:tcW w:w="2970" w:type="dxa"/>
            <w:tcBorders>
              <w:top w:val="nil"/>
              <w:left w:val="single" w:sz="4" w:space="0" w:color="auto"/>
              <w:bottom w:val="nil"/>
              <w:right w:val="nil"/>
            </w:tcBorders>
            <w:shd w:val="clear" w:color="auto" w:fill="auto"/>
            <w:noWrap/>
            <w:vAlign w:val="bottom"/>
          </w:tcPr>
          <w:p w:rsidR="00D5497F" w:rsidRPr="002044DF" w:rsidRDefault="00D5497F" w:rsidP="00745284">
            <w:pPr>
              <w:spacing w:line="312" w:lineRule="auto"/>
              <w:ind w:right="170"/>
              <w:jc w:val="right"/>
              <w:rPr>
                <w:rFonts w:cs="Arial"/>
                <w:color w:val="000000"/>
                <w:sz w:val="16"/>
                <w:szCs w:val="16"/>
              </w:rPr>
            </w:pPr>
          </w:p>
        </w:tc>
      </w:tr>
      <w:tr w:rsidR="00EC5853" w:rsidRPr="00EC5853" w:rsidTr="00D5497F">
        <w:trPr>
          <w:trHeight w:val="20"/>
        </w:trPr>
        <w:tc>
          <w:tcPr>
            <w:tcW w:w="5785" w:type="dxa"/>
            <w:tcBorders>
              <w:top w:val="nil"/>
              <w:left w:val="nil"/>
              <w:bottom w:val="nil"/>
              <w:right w:val="single" w:sz="4" w:space="0" w:color="auto"/>
            </w:tcBorders>
            <w:shd w:val="clear" w:color="auto" w:fill="auto"/>
            <w:noWrap/>
            <w:vAlign w:val="bottom"/>
          </w:tcPr>
          <w:p w:rsidR="00EC5853" w:rsidRPr="002044DF" w:rsidRDefault="00EC5853" w:rsidP="00EC5853">
            <w:pPr>
              <w:spacing w:line="312" w:lineRule="auto"/>
              <w:rPr>
                <w:rFonts w:cs="Arial"/>
                <w:b/>
                <w:bCs/>
                <w:color w:val="000000"/>
                <w:sz w:val="16"/>
                <w:szCs w:val="16"/>
              </w:rPr>
            </w:pPr>
            <w:r w:rsidRPr="002044DF">
              <w:rPr>
                <w:rFonts w:cs="Arial"/>
                <w:b/>
                <w:bCs/>
                <w:color w:val="000000"/>
                <w:sz w:val="16"/>
                <w:szCs w:val="16"/>
              </w:rPr>
              <w:t>УКУПНО</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b/>
                <w:color w:val="000000"/>
                <w:sz w:val="16"/>
                <w:szCs w:val="16"/>
              </w:rPr>
            </w:pPr>
            <w:r w:rsidRPr="00EC5853">
              <w:rPr>
                <w:rFonts w:cs="Arial"/>
                <w:b/>
                <w:color w:val="000000"/>
                <w:sz w:val="16"/>
                <w:szCs w:val="16"/>
              </w:rPr>
              <w:t>13423913</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Истраживање и експлоатација Земље</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98094</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Очување животне средине</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362368</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Истраживање и експлоатација свемира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10863</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Транспорт, телекомуникације и остале инфраструктуре</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283589</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Енергија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139368</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Индустријска производња и технологија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1969283</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Здравство</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292317</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Пољопривреда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1208835</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Образовање</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69692</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Култура, рекреација, религија и масовни медији</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154087</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Политички и друштвени системи, структуре и процеси</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316417</w:t>
            </w:r>
          </w:p>
        </w:tc>
        <w:bookmarkStart w:id="0" w:name="_GoBack"/>
        <w:bookmarkEnd w:id="0"/>
      </w:tr>
      <w:tr w:rsidR="00EC5853" w:rsidRPr="00D5497F" w:rsidTr="00D5497F">
        <w:trPr>
          <w:trHeight w:val="20"/>
        </w:trPr>
        <w:tc>
          <w:tcPr>
            <w:tcW w:w="5785" w:type="dxa"/>
            <w:tcBorders>
              <w:top w:val="nil"/>
              <w:left w:val="nil"/>
              <w:bottom w:val="nil"/>
              <w:right w:val="single" w:sz="4" w:space="0" w:color="auto"/>
            </w:tcBorders>
            <w:shd w:val="clear" w:color="auto" w:fill="auto"/>
            <w:vAlign w:val="bottom"/>
          </w:tcPr>
          <w:p w:rsidR="00EC5853" w:rsidRPr="000B2BB2" w:rsidRDefault="00141487" w:rsidP="00EC5853">
            <w:pPr>
              <w:spacing w:line="312" w:lineRule="auto"/>
              <w:rPr>
                <w:rFonts w:cs="Arial"/>
                <w:i/>
                <w:color w:val="000000"/>
                <w:sz w:val="16"/>
                <w:szCs w:val="16"/>
              </w:rPr>
            </w:pPr>
            <w:r w:rsidRPr="000B2BB2">
              <w:rPr>
                <w:rFonts w:cs="Arial"/>
                <w:i/>
                <w:color w:val="000000"/>
                <w:sz w:val="16"/>
                <w:szCs w:val="16"/>
              </w:rPr>
              <w:t xml:space="preserve">Опште унапређење знања: ИР финансирани </w:t>
            </w:r>
            <w:r w:rsidR="00EC5853" w:rsidRPr="000B2BB2">
              <w:rPr>
                <w:rFonts w:cs="Arial"/>
                <w:i/>
                <w:color w:val="000000"/>
                <w:sz w:val="16"/>
                <w:szCs w:val="16"/>
              </w:rPr>
              <w:t>из општих фондова универзитета – ГУФ</w:t>
            </w:r>
          </w:p>
        </w:tc>
        <w:tc>
          <w:tcPr>
            <w:tcW w:w="2970" w:type="dxa"/>
            <w:tcBorders>
              <w:top w:val="nil"/>
              <w:left w:val="single" w:sz="4" w:space="0" w:color="auto"/>
              <w:bottom w:val="nil"/>
              <w:right w:val="nil"/>
            </w:tcBorders>
            <w:shd w:val="clear" w:color="auto" w:fill="auto"/>
            <w:noWrap/>
            <w:vAlign w:val="bottom"/>
          </w:tcPr>
          <w:p w:rsidR="00EC5853" w:rsidRPr="000B2BB2" w:rsidRDefault="00EC5853" w:rsidP="00AD3E6B">
            <w:pPr>
              <w:ind w:right="567"/>
              <w:jc w:val="right"/>
              <w:rPr>
                <w:rFonts w:cs="Arial"/>
                <w:i/>
                <w:color w:val="000000"/>
                <w:sz w:val="16"/>
                <w:szCs w:val="16"/>
              </w:rPr>
            </w:pPr>
            <w:r w:rsidRPr="000B2BB2">
              <w:rPr>
                <w:rFonts w:cs="Arial"/>
                <w:i/>
                <w:color w:val="000000"/>
                <w:sz w:val="16"/>
                <w:szCs w:val="16"/>
              </w:rPr>
              <w:t>5825960</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F74BB" w:rsidRDefault="00EC5853" w:rsidP="00EC5853">
            <w:pPr>
              <w:spacing w:line="312" w:lineRule="auto"/>
              <w:rPr>
                <w:rFonts w:cs="Arial"/>
                <w:color w:val="000000"/>
                <w:sz w:val="16"/>
                <w:szCs w:val="16"/>
              </w:rPr>
            </w:pPr>
            <w:r w:rsidRPr="002F74BB">
              <w:rPr>
                <w:rFonts w:cs="Arial"/>
                <w:color w:val="000000"/>
                <w:sz w:val="16"/>
                <w:szCs w:val="16"/>
              </w:rPr>
              <w:t xml:space="preserve">   ИР у природним наукама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349577</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F74BB" w:rsidRDefault="00EC5853" w:rsidP="00EC5853">
            <w:pPr>
              <w:spacing w:line="312" w:lineRule="auto"/>
              <w:rPr>
                <w:rFonts w:cs="Arial"/>
                <w:color w:val="000000"/>
                <w:sz w:val="16"/>
                <w:szCs w:val="16"/>
              </w:rPr>
            </w:pPr>
            <w:r w:rsidRPr="002F74BB">
              <w:rPr>
                <w:rFonts w:cs="Arial"/>
                <w:color w:val="000000"/>
                <w:sz w:val="16"/>
                <w:szCs w:val="16"/>
              </w:rPr>
              <w:t xml:space="preserve">   ИР у инжењерству и технологији</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2258241</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F74BB" w:rsidRDefault="00EC5853" w:rsidP="00EC5853">
            <w:pPr>
              <w:spacing w:line="312" w:lineRule="auto"/>
              <w:rPr>
                <w:rFonts w:cs="Arial"/>
                <w:color w:val="000000"/>
                <w:sz w:val="16"/>
                <w:szCs w:val="16"/>
              </w:rPr>
            </w:pPr>
            <w:r w:rsidRPr="002F74BB">
              <w:rPr>
                <w:rFonts w:cs="Arial"/>
                <w:color w:val="000000"/>
                <w:sz w:val="16"/>
                <w:szCs w:val="16"/>
              </w:rPr>
              <w:t xml:space="preserve">   ИР у медицинским и здравственим наукама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1371231</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F74BB" w:rsidRDefault="00EC5853" w:rsidP="00EC5853">
            <w:pPr>
              <w:spacing w:line="312" w:lineRule="auto"/>
              <w:rPr>
                <w:rFonts w:cs="Arial"/>
                <w:color w:val="000000"/>
                <w:sz w:val="16"/>
                <w:szCs w:val="16"/>
              </w:rPr>
            </w:pPr>
            <w:r w:rsidRPr="002F74BB">
              <w:rPr>
                <w:rFonts w:cs="Arial"/>
                <w:color w:val="000000"/>
                <w:sz w:val="16"/>
                <w:szCs w:val="16"/>
              </w:rPr>
              <w:t xml:space="preserve">   ИР у пољопривредним наукама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545722</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F74BB" w:rsidRDefault="00EC5853" w:rsidP="00EC5853">
            <w:pPr>
              <w:spacing w:line="312" w:lineRule="auto"/>
              <w:rPr>
                <w:rFonts w:cs="Arial"/>
                <w:color w:val="000000"/>
                <w:sz w:val="16"/>
                <w:szCs w:val="16"/>
              </w:rPr>
            </w:pPr>
            <w:r w:rsidRPr="002F74BB">
              <w:rPr>
                <w:rFonts w:cs="Arial"/>
                <w:color w:val="000000"/>
                <w:sz w:val="16"/>
                <w:szCs w:val="16"/>
              </w:rPr>
              <w:t xml:space="preserve">   ИР у друштвеним наукама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591316</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F74BB" w:rsidRDefault="00EC5853" w:rsidP="00EC5853">
            <w:pPr>
              <w:spacing w:line="312" w:lineRule="auto"/>
              <w:rPr>
                <w:rFonts w:cs="Arial"/>
                <w:color w:val="000000"/>
                <w:sz w:val="16"/>
                <w:szCs w:val="16"/>
              </w:rPr>
            </w:pPr>
            <w:r w:rsidRPr="002F74BB">
              <w:rPr>
                <w:rFonts w:cs="Arial"/>
                <w:color w:val="000000"/>
                <w:sz w:val="16"/>
                <w:szCs w:val="16"/>
              </w:rPr>
              <w:t xml:space="preserve">   ИР у хуманистичким наукама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709873</w:t>
            </w:r>
          </w:p>
        </w:tc>
      </w:tr>
      <w:tr w:rsidR="00EC5853" w:rsidRPr="00D5497F" w:rsidTr="00D5497F">
        <w:trPr>
          <w:trHeight w:val="20"/>
        </w:trPr>
        <w:tc>
          <w:tcPr>
            <w:tcW w:w="5785" w:type="dxa"/>
            <w:tcBorders>
              <w:top w:val="nil"/>
              <w:left w:val="nil"/>
              <w:bottom w:val="nil"/>
              <w:right w:val="single" w:sz="4" w:space="0" w:color="auto"/>
            </w:tcBorders>
            <w:shd w:val="clear" w:color="auto" w:fill="auto"/>
            <w:vAlign w:val="bottom"/>
          </w:tcPr>
          <w:p w:rsidR="00EC5853" w:rsidRPr="000B2BB2" w:rsidRDefault="00EC5853" w:rsidP="00EC5853">
            <w:pPr>
              <w:spacing w:line="312" w:lineRule="auto"/>
              <w:rPr>
                <w:rFonts w:cs="Arial"/>
                <w:i/>
                <w:color w:val="000000"/>
                <w:sz w:val="16"/>
                <w:szCs w:val="16"/>
              </w:rPr>
            </w:pPr>
            <w:r w:rsidRPr="000B2BB2">
              <w:rPr>
                <w:rFonts w:cs="Arial"/>
                <w:i/>
                <w:color w:val="000000"/>
                <w:sz w:val="16"/>
                <w:szCs w:val="16"/>
              </w:rPr>
              <w:t xml:space="preserve">Опште унапређење знања: ИР из других извора – не из општих фондова универзитета </w:t>
            </w:r>
          </w:p>
        </w:tc>
        <w:tc>
          <w:tcPr>
            <w:tcW w:w="2970" w:type="dxa"/>
            <w:tcBorders>
              <w:top w:val="nil"/>
              <w:left w:val="single" w:sz="4" w:space="0" w:color="auto"/>
              <w:bottom w:val="nil"/>
              <w:right w:val="nil"/>
            </w:tcBorders>
            <w:shd w:val="clear" w:color="auto" w:fill="auto"/>
            <w:noWrap/>
            <w:vAlign w:val="bottom"/>
          </w:tcPr>
          <w:p w:rsidR="00EC5853" w:rsidRPr="000B2BB2" w:rsidRDefault="00EC5853" w:rsidP="00AD3E6B">
            <w:pPr>
              <w:ind w:right="567"/>
              <w:jc w:val="right"/>
              <w:rPr>
                <w:rFonts w:cs="Arial"/>
                <w:i/>
                <w:color w:val="000000"/>
                <w:sz w:val="16"/>
                <w:szCs w:val="16"/>
              </w:rPr>
            </w:pPr>
            <w:r w:rsidRPr="000B2BB2">
              <w:rPr>
                <w:rFonts w:cs="Arial"/>
                <w:i/>
                <w:color w:val="000000"/>
                <w:sz w:val="16"/>
                <w:szCs w:val="16"/>
              </w:rPr>
              <w:t>1959800</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 xml:space="preserve">   ИР у природним наукама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1924040</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 xml:space="preserve">   ИР у инжењерству и технологији</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rPr>
            </w:pPr>
            <w:r w:rsidRPr="00EC5853">
              <w:rPr>
                <w:rFonts w:cs="Arial"/>
                <w:color w:val="000000"/>
                <w:sz w:val="16"/>
                <w:szCs w:val="16"/>
              </w:rPr>
              <w:t>32184</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 xml:space="preserve">   ИР у хуманистичким наукама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color w:val="000000"/>
                <w:sz w:val="16"/>
                <w:szCs w:val="16"/>
                <w:lang w:val="sr-Cyrl-RS"/>
              </w:rPr>
            </w:pPr>
            <w:r w:rsidRPr="00EC5853">
              <w:rPr>
                <w:rFonts w:cs="Arial"/>
                <w:color w:val="000000"/>
                <w:sz w:val="16"/>
                <w:szCs w:val="16"/>
              </w:rPr>
              <w:t>3576</w:t>
            </w:r>
          </w:p>
        </w:tc>
      </w:tr>
      <w:tr w:rsidR="00EC5853" w:rsidRPr="002044DF" w:rsidTr="00D5497F">
        <w:trPr>
          <w:trHeight w:val="20"/>
        </w:trPr>
        <w:tc>
          <w:tcPr>
            <w:tcW w:w="5785" w:type="dxa"/>
            <w:tcBorders>
              <w:top w:val="nil"/>
              <w:left w:val="nil"/>
              <w:bottom w:val="nil"/>
              <w:right w:val="single" w:sz="4" w:space="0" w:color="auto"/>
            </w:tcBorders>
            <w:shd w:val="clear" w:color="auto" w:fill="auto"/>
            <w:vAlign w:val="bottom"/>
          </w:tcPr>
          <w:p w:rsidR="00EC5853" w:rsidRPr="002044DF" w:rsidRDefault="00EC5853" w:rsidP="00EC5853">
            <w:pPr>
              <w:spacing w:line="312" w:lineRule="auto"/>
              <w:rPr>
                <w:rFonts w:cs="Arial"/>
                <w:color w:val="000000"/>
                <w:sz w:val="16"/>
                <w:szCs w:val="16"/>
              </w:rPr>
            </w:pPr>
            <w:r w:rsidRPr="002044DF">
              <w:rPr>
                <w:rFonts w:cs="Arial"/>
                <w:color w:val="000000"/>
                <w:sz w:val="16"/>
                <w:szCs w:val="16"/>
              </w:rPr>
              <w:t>Одбрана</w:t>
            </w:r>
          </w:p>
        </w:tc>
        <w:tc>
          <w:tcPr>
            <w:tcW w:w="2970" w:type="dxa"/>
            <w:tcBorders>
              <w:top w:val="nil"/>
              <w:left w:val="single" w:sz="4" w:space="0" w:color="auto"/>
              <w:bottom w:val="nil"/>
              <w:right w:val="nil"/>
            </w:tcBorders>
            <w:shd w:val="clear" w:color="auto" w:fill="auto"/>
            <w:noWrap/>
            <w:vAlign w:val="bottom"/>
          </w:tcPr>
          <w:p w:rsidR="00EC5853" w:rsidRPr="00EC5853" w:rsidRDefault="00EC5853" w:rsidP="00AD3E6B">
            <w:pPr>
              <w:ind w:right="567"/>
              <w:jc w:val="right"/>
              <w:rPr>
                <w:rFonts w:cs="Arial"/>
                <w:sz w:val="16"/>
                <w:szCs w:val="16"/>
                <w:lang w:val="sr-Cyrl-RS"/>
              </w:rPr>
            </w:pPr>
            <w:r w:rsidRPr="00EC5853">
              <w:rPr>
                <w:rFonts w:cs="Arial"/>
                <w:color w:val="000000"/>
                <w:sz w:val="16"/>
                <w:szCs w:val="16"/>
              </w:rPr>
              <w:t>733240</w:t>
            </w:r>
          </w:p>
        </w:tc>
      </w:tr>
    </w:tbl>
    <w:p w:rsidR="00D5497F" w:rsidRDefault="00D5497F" w:rsidP="00D5497F">
      <w:pPr>
        <w:spacing w:after="60"/>
        <w:ind w:left="284" w:hanging="284"/>
        <w:rPr>
          <w:rFonts w:cs="Arial"/>
          <w:b/>
          <w:lang w:val="sr-Cyrl-CS"/>
        </w:rPr>
      </w:pPr>
    </w:p>
    <w:p w:rsidR="001A1F86" w:rsidRDefault="001A1F86" w:rsidP="00D5497F">
      <w:pPr>
        <w:spacing w:after="60"/>
        <w:ind w:left="284" w:hanging="284"/>
        <w:rPr>
          <w:rFonts w:cs="Arial"/>
          <w:b/>
          <w:lang w:val="sr-Cyrl-CS"/>
        </w:rPr>
      </w:pPr>
    </w:p>
    <w:p w:rsidR="00D5497F" w:rsidRDefault="00D5497F" w:rsidP="00D5497F">
      <w:pPr>
        <w:spacing w:after="60"/>
        <w:ind w:left="284" w:hanging="284"/>
        <w:rPr>
          <w:rFonts w:cs="Arial"/>
          <w:b/>
        </w:rPr>
      </w:pPr>
    </w:p>
    <w:p w:rsidR="00D5497F" w:rsidRPr="00C471EC" w:rsidRDefault="00D5497F" w:rsidP="00D5497F">
      <w:pPr>
        <w:jc w:val="center"/>
        <w:rPr>
          <w:rFonts w:cs="Arial"/>
          <w:b/>
          <w:sz w:val="18"/>
          <w:szCs w:val="18"/>
        </w:rPr>
      </w:pPr>
      <w:proofErr w:type="gramStart"/>
      <w:r>
        <w:rPr>
          <w:rFonts w:cs="Arial"/>
          <w:b/>
          <w:sz w:val="18"/>
          <w:szCs w:val="18"/>
        </w:rPr>
        <w:t xml:space="preserve">Граф. </w:t>
      </w:r>
      <w:r w:rsidRPr="00C471EC">
        <w:rPr>
          <w:rFonts w:cs="Arial"/>
          <w:b/>
          <w:sz w:val="18"/>
          <w:szCs w:val="18"/>
        </w:rPr>
        <w:t>3.</w:t>
      </w:r>
      <w:proofErr w:type="gramEnd"/>
      <w:r w:rsidRPr="00C471EC">
        <w:rPr>
          <w:rFonts w:cs="Arial"/>
          <w:b/>
          <w:sz w:val="18"/>
          <w:szCs w:val="18"/>
        </w:rPr>
        <w:t xml:space="preserve"> Удео планираних буџетских средстава за ИР</w:t>
      </w:r>
      <w:r>
        <w:rPr>
          <w:rFonts w:cs="Arial"/>
          <w:b/>
          <w:sz w:val="18"/>
          <w:szCs w:val="18"/>
        </w:rPr>
        <w:t xml:space="preserve"> </w:t>
      </w:r>
      <w:r w:rsidRPr="00C471EC">
        <w:rPr>
          <w:rFonts w:cs="Arial"/>
          <w:b/>
          <w:sz w:val="18"/>
          <w:szCs w:val="18"/>
        </w:rPr>
        <w:t>(усвојен</w:t>
      </w:r>
      <w:r w:rsidR="00642A4F">
        <w:rPr>
          <w:rFonts w:cs="Arial"/>
          <w:b/>
          <w:sz w:val="18"/>
          <w:szCs w:val="18"/>
          <w:lang w:val="sr-Cyrl-RS"/>
        </w:rPr>
        <w:t>и</w:t>
      </w:r>
      <w:r w:rsidRPr="00C471EC">
        <w:rPr>
          <w:rFonts w:cs="Arial"/>
          <w:b/>
          <w:sz w:val="18"/>
          <w:szCs w:val="18"/>
        </w:rPr>
        <w:t xml:space="preserve"> буџет пре ребаланса),</w:t>
      </w:r>
    </w:p>
    <w:p w:rsidR="00D5497F" w:rsidRPr="00AD3E6B" w:rsidRDefault="00D5497F" w:rsidP="00D5497F">
      <w:pPr>
        <w:jc w:val="center"/>
        <w:rPr>
          <w:rFonts w:cs="Arial"/>
          <w:b/>
          <w:sz w:val="18"/>
          <w:szCs w:val="18"/>
          <w:lang w:val="sr-Cyrl-RS"/>
        </w:rPr>
      </w:pPr>
      <w:proofErr w:type="gramStart"/>
      <w:r w:rsidRPr="00C471EC">
        <w:rPr>
          <w:rFonts w:cs="Arial"/>
          <w:b/>
          <w:sz w:val="18"/>
          <w:szCs w:val="18"/>
        </w:rPr>
        <w:t>у</w:t>
      </w:r>
      <w:proofErr w:type="gramEnd"/>
      <w:r w:rsidRPr="00C471EC">
        <w:rPr>
          <w:rFonts w:cs="Arial"/>
          <w:b/>
          <w:sz w:val="18"/>
          <w:szCs w:val="18"/>
        </w:rPr>
        <w:t xml:space="preserve"> укупним буџетским издацима за ИР</w:t>
      </w:r>
      <w:r w:rsidR="00642A4F">
        <w:rPr>
          <w:rFonts w:cs="Arial"/>
          <w:b/>
          <w:sz w:val="18"/>
          <w:szCs w:val="18"/>
          <w:lang w:val="sr-Cyrl-RS"/>
        </w:rPr>
        <w:t>,</w:t>
      </w:r>
      <w:r w:rsidR="00642A4F" w:rsidRPr="00642A4F">
        <w:rPr>
          <w:rFonts w:cs="Arial"/>
          <w:b/>
          <w:sz w:val="18"/>
          <w:szCs w:val="18"/>
        </w:rPr>
        <w:t xml:space="preserve"> </w:t>
      </w:r>
      <w:r w:rsidR="00642A4F" w:rsidRPr="00C471EC">
        <w:rPr>
          <w:rFonts w:cs="Arial"/>
          <w:b/>
          <w:sz w:val="18"/>
          <w:szCs w:val="18"/>
        </w:rPr>
        <w:t>према циљевима</w:t>
      </w:r>
      <w:r w:rsidRPr="00C471EC">
        <w:rPr>
          <w:rFonts w:cs="Arial"/>
          <w:b/>
          <w:sz w:val="18"/>
          <w:szCs w:val="18"/>
        </w:rPr>
        <w:t>, 201</w:t>
      </w:r>
      <w:r w:rsidR="00745284">
        <w:rPr>
          <w:rFonts w:cs="Arial"/>
          <w:b/>
          <w:sz w:val="18"/>
          <w:szCs w:val="18"/>
        </w:rPr>
        <w:t>7</w:t>
      </w:r>
      <w:r w:rsidRPr="00C471EC">
        <w:rPr>
          <w:rFonts w:cs="Arial"/>
          <w:b/>
          <w:sz w:val="18"/>
          <w:szCs w:val="18"/>
        </w:rPr>
        <w:t>.</w:t>
      </w:r>
      <w:r>
        <w:rPr>
          <w:rFonts w:cs="Arial"/>
          <w:b/>
          <w:sz w:val="18"/>
          <w:szCs w:val="18"/>
        </w:rPr>
        <w:t xml:space="preserve"> </w:t>
      </w:r>
      <w:r w:rsidR="00AD3E6B">
        <w:rPr>
          <w:rFonts w:cs="Arial"/>
          <w:b/>
          <w:sz w:val="18"/>
          <w:szCs w:val="18"/>
          <w:lang w:val="sr-Cyrl-RS"/>
        </w:rPr>
        <w:t>(%)</w:t>
      </w:r>
    </w:p>
    <w:p w:rsidR="00D5497F" w:rsidRDefault="008F5D75" w:rsidP="00D5497F">
      <w:pPr>
        <w:pStyle w:val="NaslovMetodologijaiNapomena"/>
        <w:rPr>
          <w:rFonts w:cs="Arial"/>
          <w:b w:val="0"/>
          <w:sz w:val="22"/>
          <w:szCs w:val="22"/>
        </w:rPr>
      </w:pPr>
      <w:r>
        <w:rPr>
          <w:noProof/>
        </w:rPr>
        <w:drawing>
          <wp:inline distT="0" distB="0" distL="0" distR="0" wp14:anchorId="0A0B946C" wp14:editId="1CA6C219">
            <wp:extent cx="5867399" cy="301942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497F">
        <w:rPr>
          <w:rFonts w:cs="Arial"/>
          <w:sz w:val="22"/>
          <w:szCs w:val="22"/>
        </w:rPr>
        <w:br w:type="page"/>
      </w:r>
    </w:p>
    <w:p w:rsidR="004D0523" w:rsidRPr="00B66A0D" w:rsidRDefault="00A6467E" w:rsidP="00367CA1">
      <w:pPr>
        <w:pStyle w:val="NaslovMetodologijaiNapomena"/>
        <w:spacing w:before="0"/>
        <w:rPr>
          <w:rFonts w:cs="Arial"/>
          <w:sz w:val="22"/>
          <w:szCs w:val="22"/>
          <w:lang w:val="sr-Cyrl-CS"/>
        </w:rPr>
      </w:pPr>
      <w:r w:rsidRPr="00B66A0D">
        <w:rPr>
          <w:rFonts w:cs="Arial"/>
          <w:sz w:val="22"/>
          <w:szCs w:val="22"/>
        </w:rPr>
        <w:lastRenderedPageBreak/>
        <w:t>Методолошка</w:t>
      </w:r>
      <w:r w:rsidR="00D712BC">
        <w:rPr>
          <w:rFonts w:cs="Arial"/>
          <w:sz w:val="22"/>
          <w:szCs w:val="22"/>
        </w:rPr>
        <w:t xml:space="preserve"> </w:t>
      </w:r>
      <w:r w:rsidR="004D0523" w:rsidRPr="00B66A0D">
        <w:rPr>
          <w:rFonts w:cs="Arial"/>
          <w:sz w:val="22"/>
          <w:szCs w:val="22"/>
          <w:lang w:val="sr-Cyrl-CS"/>
        </w:rPr>
        <w:t xml:space="preserve">објашњења и </w:t>
      </w:r>
      <w:r w:rsidRPr="00B66A0D">
        <w:rPr>
          <w:rFonts w:cs="Arial"/>
          <w:sz w:val="22"/>
          <w:szCs w:val="22"/>
          <w:lang w:val="sr-Cyrl-CS"/>
        </w:rPr>
        <w:t>дефиниције</w:t>
      </w:r>
    </w:p>
    <w:p w:rsidR="00B66A0D" w:rsidRPr="00B66A0D" w:rsidRDefault="00B66A0D" w:rsidP="00B66A0D">
      <w:pPr>
        <w:spacing w:before="480" w:after="360"/>
        <w:ind w:firstLine="397"/>
        <w:jc w:val="both"/>
        <w:rPr>
          <w:rFonts w:cs="Arial"/>
          <w:b/>
          <w:szCs w:val="20"/>
        </w:rPr>
      </w:pPr>
      <w:r w:rsidRPr="00B66A0D">
        <w:rPr>
          <w:rFonts w:cs="Arial"/>
          <w:b/>
          <w:szCs w:val="20"/>
        </w:rPr>
        <w:t>Извор</w:t>
      </w:r>
      <w:r w:rsidR="008B63C9">
        <w:rPr>
          <w:rFonts w:cs="Arial"/>
          <w:b/>
          <w:szCs w:val="20"/>
        </w:rPr>
        <w:t xml:space="preserve"> </w:t>
      </w:r>
      <w:r w:rsidRPr="00B66A0D">
        <w:rPr>
          <w:rFonts w:cs="Arial"/>
          <w:b/>
          <w:szCs w:val="20"/>
        </w:rPr>
        <w:t>података</w:t>
      </w:r>
    </w:p>
    <w:p w:rsidR="00B66A0D" w:rsidRPr="00B66A0D" w:rsidRDefault="00B66A0D" w:rsidP="00B66A0D">
      <w:pPr>
        <w:spacing w:before="120" w:after="120"/>
        <w:ind w:firstLine="397"/>
        <w:jc w:val="both"/>
        <w:rPr>
          <w:rFonts w:cs="Arial"/>
          <w:szCs w:val="20"/>
        </w:rPr>
      </w:pPr>
      <w:proofErr w:type="gramStart"/>
      <w:r w:rsidRPr="00B66A0D">
        <w:rPr>
          <w:rFonts w:cs="Arial"/>
          <w:szCs w:val="20"/>
        </w:rPr>
        <w:t>Подаци су резултат</w:t>
      </w:r>
      <w:r w:rsidR="003226E8">
        <w:rPr>
          <w:rFonts w:cs="Arial"/>
          <w:szCs w:val="20"/>
        </w:rPr>
        <w:t xml:space="preserve"> </w:t>
      </w:r>
      <w:r w:rsidRPr="00B66A0D">
        <w:rPr>
          <w:rFonts w:cs="Arial"/>
          <w:szCs w:val="20"/>
        </w:rPr>
        <w:t>обраде истраживања о укупним буџетским издвајањима за науку, 201</w:t>
      </w:r>
      <w:r w:rsidR="00745284">
        <w:rPr>
          <w:rFonts w:cs="Arial"/>
          <w:szCs w:val="20"/>
          <w:lang w:val="sr-Cyrl-RS"/>
        </w:rPr>
        <w:t>6</w:t>
      </w:r>
      <w:r w:rsidR="00745284">
        <w:rPr>
          <w:rFonts w:cs="Arial"/>
          <w:szCs w:val="20"/>
        </w:rPr>
        <w:t>/</w:t>
      </w:r>
      <w:r w:rsidRPr="00B66A0D">
        <w:rPr>
          <w:rFonts w:cs="Arial"/>
          <w:szCs w:val="20"/>
        </w:rPr>
        <w:t>201</w:t>
      </w:r>
      <w:r w:rsidR="00745284">
        <w:rPr>
          <w:rFonts w:cs="Arial"/>
          <w:szCs w:val="20"/>
          <w:lang w:val="sr-Cyrl-RS"/>
        </w:rPr>
        <w:t>7</w:t>
      </w:r>
      <w:r w:rsidRPr="00B66A0D">
        <w:rPr>
          <w:rFonts w:cs="Arial"/>
          <w:szCs w:val="20"/>
        </w:rPr>
        <w:t>.</w:t>
      </w:r>
      <w:proofErr w:type="gramEnd"/>
      <w:r w:rsidRPr="00B66A0D">
        <w:rPr>
          <w:rFonts w:cs="Arial"/>
          <w:szCs w:val="20"/>
        </w:rPr>
        <w:t xml:space="preserve"> </w:t>
      </w:r>
      <w:proofErr w:type="gramStart"/>
      <w:r w:rsidRPr="00B66A0D">
        <w:rPr>
          <w:rFonts w:cs="Arial"/>
          <w:szCs w:val="20"/>
        </w:rPr>
        <w:t>год</w:t>
      </w:r>
      <w:proofErr w:type="gramEnd"/>
      <w:r w:rsidRPr="00B66A0D">
        <w:rPr>
          <w:rFonts w:cs="Arial"/>
          <w:szCs w:val="20"/>
        </w:rPr>
        <w:t xml:space="preserve">. </w:t>
      </w:r>
      <w:proofErr w:type="gramStart"/>
      <w:r w:rsidRPr="00B66A0D">
        <w:rPr>
          <w:rFonts w:cs="Arial"/>
          <w:szCs w:val="20"/>
        </w:rPr>
        <w:t>у</w:t>
      </w:r>
      <w:proofErr w:type="gramEnd"/>
      <w:r w:rsidRPr="00B66A0D">
        <w:rPr>
          <w:rFonts w:cs="Arial"/>
          <w:szCs w:val="20"/>
        </w:rPr>
        <w:t xml:space="preserve"> Републици Србији. Подаци су прикупљени на основу извештаја надлежних министарстава, која учествују у алокацији буџетских средстава за ИР (попуњавају образац БИН).</w:t>
      </w:r>
    </w:p>
    <w:p w:rsidR="00B66A0D" w:rsidRPr="00B66A0D" w:rsidRDefault="00B66A0D" w:rsidP="00B66A0D">
      <w:pPr>
        <w:spacing w:before="480" w:after="360"/>
        <w:ind w:firstLine="397"/>
        <w:jc w:val="both"/>
        <w:rPr>
          <w:rFonts w:cs="Arial"/>
          <w:b/>
          <w:szCs w:val="20"/>
        </w:rPr>
      </w:pPr>
      <w:r w:rsidRPr="00B66A0D">
        <w:rPr>
          <w:rFonts w:cs="Arial"/>
          <w:b/>
          <w:szCs w:val="20"/>
        </w:rPr>
        <w:t>Обухват и упоредивост</w:t>
      </w:r>
    </w:p>
    <w:p w:rsidR="00B66A0D" w:rsidRPr="00B66A0D" w:rsidRDefault="00B66A0D" w:rsidP="00B66A0D">
      <w:pPr>
        <w:pStyle w:val="Style23"/>
        <w:widowControl/>
        <w:spacing w:before="120" w:after="120"/>
        <w:ind w:firstLine="397"/>
        <w:rPr>
          <w:rStyle w:val="FontStyle118"/>
          <w:rFonts w:ascii="Arial" w:hAnsi="Arial" w:cs="Arial"/>
          <w:sz w:val="20"/>
          <w:szCs w:val="20"/>
          <w:lang w:eastAsia="sr-Cyrl-CS"/>
        </w:rPr>
      </w:pPr>
      <w:r w:rsidRPr="00B66A0D">
        <w:rPr>
          <w:rStyle w:val="FontStyle124"/>
          <w:rFonts w:ascii="Arial" w:hAnsi="Arial" w:cs="Arial"/>
          <w:sz w:val="20"/>
          <w:szCs w:val="20"/>
          <w:lang w:val="sr-Cyrl-CS" w:eastAsia="sr-Cyrl-CS"/>
        </w:rPr>
        <w:t xml:space="preserve">Методологија за спровођење истраживања усклађена је са међународним стандардима које је поставио </w:t>
      </w:r>
      <w:r w:rsidRPr="00B66A0D">
        <w:rPr>
          <w:rStyle w:val="FontStyle124"/>
          <w:rFonts w:ascii="Arial" w:hAnsi="Arial" w:cs="Arial"/>
          <w:sz w:val="20"/>
          <w:szCs w:val="20"/>
          <w:lang w:val="sr-Latn-CS" w:eastAsia="sr-Cyrl-CS"/>
        </w:rPr>
        <w:t xml:space="preserve">OECD </w:t>
      </w:r>
      <w:r w:rsidRPr="00B66A0D">
        <w:rPr>
          <w:rStyle w:val="FontStyle124"/>
          <w:rFonts w:ascii="Arial" w:hAnsi="Arial" w:cs="Arial"/>
          <w:sz w:val="20"/>
          <w:szCs w:val="20"/>
          <w:lang w:val="sr-Cyrl-CS" w:eastAsia="sr-Cyrl-CS"/>
        </w:rPr>
        <w:t xml:space="preserve">и објавио у приручнику Фраскати </w:t>
      </w:r>
      <w:r w:rsidRPr="00B66A0D">
        <w:rPr>
          <w:rStyle w:val="FontStyle118"/>
          <w:rFonts w:ascii="Arial" w:hAnsi="Arial" w:cs="Arial"/>
          <w:sz w:val="20"/>
          <w:szCs w:val="20"/>
          <w:lang w:val="sr-Latn-CS" w:eastAsia="sr-Cyrl-CS"/>
        </w:rPr>
        <w:t xml:space="preserve">(The Measurement of Scientific and Technological Activities - Proposed Standard Practice for Surveys of Researchand Experimental Development - Frascati Manual, 2002 </w:t>
      </w:r>
      <w:r w:rsidRPr="00B66A0D">
        <w:rPr>
          <w:rStyle w:val="FontStyle118"/>
          <w:rFonts w:ascii="Arial" w:hAnsi="Arial" w:cs="Arial"/>
          <w:sz w:val="20"/>
          <w:szCs w:val="20"/>
          <w:lang w:val="sr-Cyrl-CS" w:eastAsia="sr-Cyrl-CS"/>
        </w:rPr>
        <w:t xml:space="preserve">и </w:t>
      </w:r>
      <w:r w:rsidRPr="00B66A0D">
        <w:rPr>
          <w:rStyle w:val="FontStyle118"/>
          <w:rFonts w:ascii="Arial" w:hAnsi="Arial" w:cs="Arial"/>
          <w:sz w:val="20"/>
          <w:szCs w:val="20"/>
          <w:lang w:val="sr-Latn-CS" w:eastAsia="sr-Cyrl-CS"/>
        </w:rPr>
        <w:t xml:space="preserve">2007; </w:t>
      </w:r>
      <w:r w:rsidRPr="00B66A0D">
        <w:rPr>
          <w:rStyle w:val="FontStyle118"/>
          <w:rFonts w:ascii="Arial" w:hAnsi="Arial" w:cs="Arial"/>
          <w:sz w:val="20"/>
          <w:szCs w:val="20"/>
          <w:lang w:val="sr-Cyrl-CS" w:eastAsia="sr-Cyrl-CS"/>
        </w:rPr>
        <w:t xml:space="preserve">издавач: </w:t>
      </w:r>
      <w:r w:rsidRPr="00B66A0D">
        <w:rPr>
          <w:rStyle w:val="FontStyle118"/>
          <w:rFonts w:ascii="Arial" w:hAnsi="Arial" w:cs="Arial"/>
          <w:sz w:val="20"/>
          <w:szCs w:val="20"/>
          <w:lang w:val="sr-Latn-CS" w:eastAsia="sr-Cyrl-CS"/>
        </w:rPr>
        <w:t>OECD).</w:t>
      </w:r>
    </w:p>
    <w:p w:rsidR="00B66A0D" w:rsidRPr="00B66A0D" w:rsidRDefault="00B66A0D" w:rsidP="00B66A0D">
      <w:pPr>
        <w:pStyle w:val="Style23"/>
        <w:widowControl/>
        <w:spacing w:before="120" w:after="120"/>
        <w:ind w:firstLine="397"/>
        <w:rPr>
          <w:rFonts w:ascii="Arial" w:eastAsia="Times New Roman" w:hAnsi="Arial" w:cs="Arial"/>
          <w:sz w:val="20"/>
          <w:szCs w:val="20"/>
        </w:rPr>
      </w:pPr>
      <w:r w:rsidRPr="00B66A0D">
        <w:rPr>
          <w:rFonts w:ascii="Arial" w:eastAsia="Times New Roman" w:hAnsi="Arial" w:cs="Arial"/>
          <w:sz w:val="20"/>
          <w:szCs w:val="20"/>
        </w:rPr>
        <w:t>За праћење буџетских средстава према друштвено-економским циљевима коришћена је Номенклатура за анализу и поређење научних програма и средстава - NABS 2007, која је повезана са приручником Фраскати. Та номенклатура сврстава друштвено-економске циљеве, као и намену утрошених средстава за ИР, у 13 категорија</w:t>
      </w:r>
      <w:proofErr w:type="gramStart"/>
      <w:r w:rsidRPr="00B66A0D">
        <w:rPr>
          <w:rFonts w:ascii="Arial" w:eastAsia="Times New Roman" w:hAnsi="Arial" w:cs="Arial"/>
          <w:sz w:val="20"/>
          <w:szCs w:val="20"/>
        </w:rPr>
        <w:t>,.</w:t>
      </w:r>
      <w:proofErr w:type="gramEnd"/>
      <w:r w:rsidRPr="00B66A0D">
        <w:rPr>
          <w:rFonts w:ascii="Arial" w:eastAsia="Times New Roman" w:hAnsi="Arial" w:cs="Arial"/>
          <w:sz w:val="20"/>
          <w:szCs w:val="20"/>
        </w:rPr>
        <w:t xml:space="preserve"> </w:t>
      </w:r>
    </w:p>
    <w:p w:rsidR="00B66A0D" w:rsidRPr="00B66A0D" w:rsidRDefault="00B66A0D" w:rsidP="00B66A0D">
      <w:pPr>
        <w:pStyle w:val="Texto"/>
        <w:spacing w:before="120" w:after="120"/>
        <w:ind w:left="0" w:firstLine="397"/>
        <w:rPr>
          <w:rFonts w:ascii="Arial" w:hAnsi="Arial" w:cs="Arial"/>
          <w:lang w:val="ru-RU"/>
        </w:rPr>
      </w:pPr>
      <w:r w:rsidRPr="00B66A0D">
        <w:rPr>
          <w:rFonts w:ascii="Arial" w:hAnsi="Arial" w:cs="Arial"/>
        </w:rPr>
        <w:t>Истраживањем: „</w:t>
      </w:r>
      <w:r w:rsidRPr="00B66A0D">
        <w:rPr>
          <w:rFonts w:ascii="Arial" w:hAnsi="Arial" w:cs="Arial"/>
          <w:lang w:val="ru-RU"/>
        </w:rPr>
        <w:t>Извештај о буџетским издвајањима за научноистраживачку делатност, 201</w:t>
      </w:r>
      <w:r w:rsidR="00745284">
        <w:rPr>
          <w:rFonts w:ascii="Arial" w:hAnsi="Arial" w:cs="Arial"/>
          <w:lang w:val="ru-RU"/>
        </w:rPr>
        <w:t>6/</w:t>
      </w:r>
      <w:r w:rsidRPr="00B66A0D">
        <w:rPr>
          <w:rFonts w:ascii="Arial" w:hAnsi="Arial" w:cs="Arial"/>
          <w:lang w:val="ru-RU"/>
        </w:rPr>
        <w:t>20</w:t>
      </w:r>
      <w:r w:rsidR="00745284">
        <w:rPr>
          <w:rFonts w:ascii="Arial" w:hAnsi="Arial" w:cs="Arial"/>
          <w:lang w:val="ru-RU"/>
        </w:rPr>
        <w:t>17</w:t>
      </w:r>
      <w:proofErr w:type="gramStart"/>
      <w:r w:rsidRPr="00B66A0D">
        <w:rPr>
          <w:rFonts w:ascii="Arial" w:hAnsi="Arial" w:cs="Arial"/>
          <w:lang w:val="ru-RU"/>
        </w:rPr>
        <w:t>“ се</w:t>
      </w:r>
      <w:proofErr w:type="gramEnd"/>
      <w:r w:rsidRPr="00B66A0D">
        <w:rPr>
          <w:rFonts w:ascii="Arial" w:hAnsi="Arial" w:cs="Arial"/>
          <w:lang w:val="ru-RU"/>
        </w:rPr>
        <w:t xml:space="preserve"> прикупљају подаци о издвајањима за ИР из буџета, према друштвено-економским циљевима, укључујући сва финансирања међународних програма ИР-а или установа у иностранству. Циљ истраживања је праћење истраживачко-развојне политике државе преко њеног финансирања истраживачко-развојних активности.  </w:t>
      </w:r>
    </w:p>
    <w:p w:rsidR="00B66A0D" w:rsidRPr="00B66A0D" w:rsidRDefault="00B66A0D" w:rsidP="00B66A0D">
      <w:pPr>
        <w:pStyle w:val="Texto"/>
        <w:spacing w:before="120" w:after="120"/>
        <w:ind w:left="0" w:firstLine="397"/>
        <w:rPr>
          <w:rFonts w:ascii="Arial" w:hAnsi="Arial" w:cs="Arial"/>
          <w:lang w:val="ru-RU"/>
        </w:rPr>
      </w:pPr>
      <w:r w:rsidRPr="00B66A0D">
        <w:rPr>
          <w:rFonts w:ascii="Arial" w:hAnsi="Arial" w:cs="Arial"/>
          <w:lang w:val="ru-RU"/>
        </w:rPr>
        <w:t>Ово истраживање се односи на институције које финансирају активност ИР. Подаци се односе на стварне издатке у 201</w:t>
      </w:r>
      <w:r w:rsidR="00745284">
        <w:rPr>
          <w:rFonts w:ascii="Arial" w:hAnsi="Arial" w:cs="Arial"/>
          <w:lang w:val="ru-RU"/>
        </w:rPr>
        <w:t>6</w:t>
      </w:r>
      <w:r w:rsidRPr="00B66A0D">
        <w:rPr>
          <w:rFonts w:ascii="Arial" w:hAnsi="Arial" w:cs="Arial"/>
          <w:lang w:val="ru-RU"/>
        </w:rPr>
        <w:t>. години (ефективно исплаћени износ током године) и на планирани буџет за 201</w:t>
      </w:r>
      <w:r w:rsidR="00745284">
        <w:rPr>
          <w:rFonts w:ascii="Arial" w:hAnsi="Arial" w:cs="Arial"/>
          <w:lang w:val="ru-RU"/>
        </w:rPr>
        <w:t>7</w:t>
      </w:r>
      <w:r w:rsidRPr="00B66A0D">
        <w:rPr>
          <w:rFonts w:ascii="Arial" w:hAnsi="Arial" w:cs="Arial"/>
          <w:lang w:val="ru-RU"/>
        </w:rPr>
        <w:t xml:space="preserve">. годину (износ који је усвојен пре ребаланса буџета). </w:t>
      </w:r>
    </w:p>
    <w:p w:rsidR="00B66A0D" w:rsidRPr="00B66A0D" w:rsidRDefault="00B66A0D" w:rsidP="00B66A0D">
      <w:pPr>
        <w:pStyle w:val="Texto"/>
        <w:spacing w:before="120" w:after="120"/>
        <w:ind w:left="0" w:firstLine="397"/>
        <w:rPr>
          <w:rStyle w:val="FontStyle123"/>
          <w:rFonts w:ascii="Arial" w:hAnsi="Arial" w:cs="Arial"/>
          <w:b w:val="0"/>
          <w:bCs w:val="0"/>
          <w:sz w:val="20"/>
          <w:szCs w:val="20"/>
          <w:lang w:val="sr-Cyrl-CS" w:eastAsia="sr-Cyrl-CS"/>
        </w:rPr>
      </w:pPr>
      <w:r w:rsidRPr="00B66A0D">
        <w:rPr>
          <w:rFonts w:ascii="Arial" w:hAnsi="Arial" w:cs="Arial"/>
          <w:lang w:val="ru-RU"/>
        </w:rPr>
        <w:t>Извештај су попуниле све институције (директни корисници буџетских средстава) које су током 201</w:t>
      </w:r>
      <w:r w:rsidR="00745284">
        <w:rPr>
          <w:rFonts w:ascii="Arial" w:hAnsi="Arial" w:cs="Arial"/>
          <w:lang w:val="ru-RU"/>
        </w:rPr>
        <w:t>6</w:t>
      </w:r>
      <w:r w:rsidRPr="00B66A0D">
        <w:rPr>
          <w:rFonts w:ascii="Arial" w:hAnsi="Arial" w:cs="Arial"/>
          <w:lang w:val="ru-RU"/>
        </w:rPr>
        <w:t>. финансирале или је у 201</w:t>
      </w:r>
      <w:r w:rsidR="00745284">
        <w:rPr>
          <w:rFonts w:ascii="Arial" w:hAnsi="Arial" w:cs="Arial"/>
          <w:lang w:val="ru-RU"/>
        </w:rPr>
        <w:t>7</w:t>
      </w:r>
      <w:r w:rsidRPr="00B66A0D">
        <w:rPr>
          <w:rFonts w:ascii="Arial" w:hAnsi="Arial" w:cs="Arial"/>
          <w:lang w:val="ru-RU"/>
        </w:rPr>
        <w:t>. требало да финансирају активности ИР – директни</w:t>
      </w:r>
      <w:r w:rsidRPr="00B66A0D">
        <w:rPr>
          <w:rStyle w:val="FontStyle123"/>
          <w:rFonts w:ascii="Arial" w:hAnsi="Arial" w:cs="Arial"/>
          <w:b w:val="0"/>
          <w:sz w:val="20"/>
          <w:szCs w:val="20"/>
          <w:lang w:val="sr-Cyrl-CS" w:eastAsia="sr-Cyrl-CS"/>
        </w:rPr>
        <w:t>корисници републичког буџета који учествују у расподели финансијских средстава за ИР у Републици Србији.</w:t>
      </w:r>
    </w:p>
    <w:p w:rsidR="00B66A0D" w:rsidRPr="00B66A0D" w:rsidRDefault="00B66A0D" w:rsidP="00B66A0D">
      <w:pPr>
        <w:pStyle w:val="Style7"/>
        <w:widowControl/>
        <w:spacing w:before="480" w:after="360" w:line="240" w:lineRule="auto"/>
        <w:ind w:firstLine="397"/>
        <w:rPr>
          <w:rStyle w:val="FontStyle124"/>
          <w:rFonts w:ascii="Arial" w:hAnsi="Arial" w:cs="Arial"/>
          <w:b/>
          <w:sz w:val="20"/>
          <w:szCs w:val="20"/>
          <w:lang w:val="sr-Cyrl-CS" w:eastAsia="sr-Latn-CS"/>
        </w:rPr>
      </w:pPr>
      <w:r w:rsidRPr="00B66A0D">
        <w:rPr>
          <w:rStyle w:val="FontStyle124"/>
          <w:rFonts w:ascii="Arial" w:hAnsi="Arial" w:cs="Arial"/>
          <w:b/>
          <w:sz w:val="20"/>
          <w:szCs w:val="20"/>
          <w:lang w:val="sr-Cyrl-CS" w:eastAsia="sr-Latn-CS"/>
        </w:rPr>
        <w:t>Дефиниције основних обележја</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Наука </w:t>
      </w:r>
      <w:r w:rsidRPr="00B66A0D">
        <w:rPr>
          <w:rStyle w:val="FontStyle124"/>
          <w:rFonts w:ascii="Arial" w:hAnsi="Arial" w:cs="Arial"/>
          <w:sz w:val="20"/>
          <w:szCs w:val="20"/>
          <w:lang w:val="sr-Cyrl-CS" w:eastAsia="sr-Cyrl-CS"/>
        </w:rPr>
        <w:t>је скуп систематизованих и аргументованих знања, односно спознајних чињеница, појмова, начела, података, информација, теорија, закона и законитости у одређеном историјском раздобљу о објективној стварности, тј. природи и друштву, до којег се дошло применом објективних научних метода, а којима је основна сврха и циљ спознаја закона и законитости о прошлости, садашњости и будућности природних и друштвених појава и повећање ефикасности рада у свим доменима људских активности.</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Научна истраживања </w:t>
      </w:r>
      <w:r w:rsidRPr="00B66A0D">
        <w:rPr>
          <w:rStyle w:val="FontStyle124"/>
          <w:rFonts w:ascii="Arial" w:hAnsi="Arial" w:cs="Arial"/>
          <w:sz w:val="20"/>
          <w:szCs w:val="20"/>
          <w:lang w:val="sr-Cyrl-CS" w:eastAsia="sr-Cyrl-CS"/>
        </w:rPr>
        <w:t>су теоријски или експериментални рад који се предузима ради стицања нових научних сазнања и повећања свеукупног људског знања. Научним истраживањима се сматрају основна и примењена истраживања.</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Основна (фундаментална, базична) истраживања </w:t>
      </w:r>
      <w:r w:rsidRPr="00B66A0D">
        <w:rPr>
          <w:rStyle w:val="FontStyle124"/>
          <w:rFonts w:ascii="Arial" w:hAnsi="Arial" w:cs="Arial"/>
          <w:sz w:val="20"/>
          <w:szCs w:val="20"/>
          <w:lang w:val="sr-Cyrl-CS" w:eastAsia="sr-Cyrl-CS"/>
        </w:rPr>
        <w:t xml:space="preserve">обухватају она истраживања која повећавају општи фонд научних чињеница и знања и која одређују нова подручја људског знања и спознаја, али која немају или не морају имати директну практичну примену добијених резултата. </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Примењена (апликативна) истраживања </w:t>
      </w:r>
      <w:r w:rsidRPr="00B66A0D">
        <w:rPr>
          <w:rStyle w:val="FontStyle124"/>
          <w:rFonts w:ascii="Arial" w:hAnsi="Arial" w:cs="Arial"/>
          <w:sz w:val="20"/>
          <w:szCs w:val="20"/>
          <w:lang w:val="sr-Cyrl-CS" w:eastAsia="sr-Cyrl-CS"/>
        </w:rPr>
        <w:t xml:space="preserve">су теоријски или експериментални рад који се предузима ради стицања нових знања, а који је усмерен на решавање неког практичног задатака, односно остварење неког практичног циља. </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Развојна (стручна) истраживања, </w:t>
      </w:r>
      <w:r w:rsidRPr="00B66A0D">
        <w:rPr>
          <w:rStyle w:val="FontStyle124"/>
          <w:rFonts w:ascii="Arial" w:hAnsi="Arial" w:cs="Arial"/>
          <w:sz w:val="20"/>
          <w:szCs w:val="20"/>
          <w:lang w:val="sr-Cyrl-CS" w:eastAsia="sr-Cyrl-CS"/>
        </w:rPr>
        <w:t xml:space="preserve">односно експериментални развој је систематски рад, утемељен на знањима стеченим основним или примењеним истраживањима, односно практичном искуству које је, пре свега, усмерено на увођење нових или знатно побољшање постојећих поступака, производа и услуга. </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Pr>
          <w:rStyle w:val="FontStyle123"/>
          <w:rFonts w:ascii="Arial" w:hAnsi="Arial" w:cs="Arial"/>
          <w:sz w:val="20"/>
          <w:szCs w:val="20"/>
          <w:lang w:val="sr-Cyrl-CS" w:eastAsia="sr-Cyrl-CS"/>
        </w:rPr>
        <w:br w:type="page"/>
      </w:r>
      <w:r w:rsidRPr="00B66A0D">
        <w:rPr>
          <w:rStyle w:val="FontStyle123"/>
          <w:rFonts w:ascii="Arial" w:hAnsi="Arial" w:cs="Arial"/>
          <w:sz w:val="20"/>
          <w:szCs w:val="20"/>
          <w:lang w:val="sr-Cyrl-CS" w:eastAsia="sr-Cyrl-CS"/>
        </w:rPr>
        <w:lastRenderedPageBreak/>
        <w:t xml:space="preserve">Научноистраживачки рад </w:t>
      </w:r>
      <w:r w:rsidRPr="00B66A0D">
        <w:rPr>
          <w:rStyle w:val="FontStyle124"/>
          <w:rFonts w:ascii="Arial" w:hAnsi="Arial" w:cs="Arial"/>
          <w:sz w:val="20"/>
          <w:szCs w:val="20"/>
          <w:lang w:val="sr-Cyrl-CS" w:eastAsia="sr-Cyrl-CS"/>
        </w:rPr>
        <w:t xml:space="preserve">је систематска стваралачка активност којом се, применом научних метода, стичу нове научне спознаје, односно стваралачки користи постојеће знање за нове примене. То је стваралачки рад на освајању нових знања, а циљ му је подизање општег цивилизацијског нивоа друштва и коришћење тих знања у свим областима друштвено-економског развоја. </w:t>
      </w:r>
    </w:p>
    <w:p w:rsidR="00B66A0D" w:rsidRPr="00B66A0D" w:rsidRDefault="00B66A0D" w:rsidP="00B66A0D">
      <w:pPr>
        <w:pStyle w:val="Style15"/>
        <w:widowControl/>
        <w:spacing w:before="120" w:after="120"/>
        <w:ind w:firstLine="397"/>
        <w:rPr>
          <w:rStyle w:val="FontStyle123"/>
          <w:rFonts w:ascii="Arial" w:hAnsi="Arial" w:cs="Arial"/>
          <w:sz w:val="20"/>
          <w:szCs w:val="20"/>
          <w:lang w:val="sr-Cyrl-CS" w:eastAsia="sr-Cyrl-CS"/>
        </w:rPr>
      </w:pPr>
      <w:r w:rsidRPr="00B66A0D">
        <w:rPr>
          <w:rStyle w:val="FontStyle123"/>
          <w:rFonts w:ascii="Arial" w:hAnsi="Arial" w:cs="Arial"/>
          <w:sz w:val="20"/>
          <w:szCs w:val="20"/>
          <w:lang w:val="sr-Cyrl-CS" w:eastAsia="sr-Cyrl-CS"/>
        </w:rPr>
        <w:t>Издаци за истраживање и развој према врсти деле се на текуће издатке (трошкове) и инвестиционе издатке.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4"/>
          <w:rFonts w:ascii="Arial" w:hAnsi="Arial" w:cs="Arial"/>
          <w:b/>
          <w:sz w:val="20"/>
          <w:szCs w:val="20"/>
          <w:lang w:val="sr-Cyrl-CS" w:eastAsia="sr-Cyrl-CS"/>
        </w:rPr>
        <w:t>Текући трошкови (издаци)</w:t>
      </w:r>
      <w:r w:rsidRPr="00B66A0D">
        <w:rPr>
          <w:rStyle w:val="FontStyle124"/>
          <w:rFonts w:ascii="Arial" w:hAnsi="Arial" w:cs="Arial"/>
          <w:sz w:val="20"/>
          <w:szCs w:val="20"/>
          <w:lang w:val="sr-Cyrl-CS" w:eastAsia="sr-Cyrl-CS"/>
        </w:rPr>
        <w:t xml:space="preserve"> обухватају: трошкове рада и трошкове накнада запосленима, као и остале текуће трошкове (материјалне трошкове за истраживачко-развојни рад – сировине, материјал, енергија; исплате на основу</w:t>
      </w:r>
      <w:r w:rsidR="003226E8">
        <w:rPr>
          <w:rStyle w:val="FontStyle124"/>
          <w:rFonts w:ascii="Arial" w:hAnsi="Arial" w:cs="Arial"/>
          <w:sz w:val="20"/>
          <w:szCs w:val="20"/>
          <w:lang w:eastAsia="sr-Cyrl-CS"/>
        </w:rPr>
        <w:t xml:space="preserve"> </w:t>
      </w:r>
      <w:r w:rsidRPr="00B66A0D">
        <w:rPr>
          <w:rStyle w:val="FontStyle124"/>
          <w:rFonts w:ascii="Arial" w:hAnsi="Arial" w:cs="Arial"/>
          <w:sz w:val="20"/>
          <w:szCs w:val="20"/>
          <w:lang w:val="sr-Cyrl-CS" w:eastAsia="sr-Cyrl-CS"/>
        </w:rPr>
        <w:t>уговора о делу и ауторских уговора; дневнице, путне трошкове, репрезентацију и слично; и друге издатке).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Инвестициони издаци</w:t>
      </w:r>
      <w:r w:rsidRPr="00B66A0D">
        <w:rPr>
          <w:rStyle w:val="FontStyle124"/>
          <w:rFonts w:ascii="Arial" w:hAnsi="Arial" w:cs="Arial"/>
          <w:sz w:val="20"/>
          <w:szCs w:val="20"/>
          <w:lang w:val="sr-Cyrl-CS" w:eastAsia="sr-Cyrl-CS"/>
        </w:rPr>
        <w:t xml:space="preserve"> обухватају издатке за земљиште и грађевинске објекте; машине и опрему; патенте, лиценце, студије и пројекте; софтвер и хардвер (који подразумева укупне трошкове у вези са набавком рачунара, уређаја, система, компонената и опреме, као и трошкове набавке или развијања софтвера за сопствене потребе); и остале издатке.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Нефинансијски (пословни) сектор </w:t>
      </w:r>
      <w:r w:rsidRPr="00B66A0D">
        <w:rPr>
          <w:rStyle w:val="FontStyle124"/>
          <w:rFonts w:ascii="Arial" w:hAnsi="Arial" w:cs="Arial"/>
          <w:sz w:val="20"/>
          <w:szCs w:val="20"/>
          <w:lang w:val="sr-Cyrl-CS" w:eastAsia="sr-Cyrl-CS"/>
        </w:rPr>
        <w:t>обухвата пословне субјекте и организације чија је примарна активност тржишна производња робе и услуга и њихова продаја по економски значајним ценама, као и истраживачко-развојне јединице у саставу пословног субјекта.</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Високо образовање </w:t>
      </w:r>
      <w:r w:rsidRPr="00B66A0D">
        <w:rPr>
          <w:rStyle w:val="FontStyle124"/>
          <w:rFonts w:ascii="Arial" w:hAnsi="Arial" w:cs="Arial"/>
          <w:sz w:val="20"/>
          <w:szCs w:val="20"/>
          <w:lang w:val="sr-Cyrl-CS" w:eastAsia="sr-Cyrl-CS"/>
        </w:rPr>
        <w:t>обухвата високе школе и универзитете са јединицама у саставу, факултетима, академијама и научноистраживачким институтима, без обзира на изворе финансирања и правни статус. Овом сектору припадају и истраживачки институти и клинике под непосредном контролом или управом високошколске организације.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Сектор државе </w:t>
      </w:r>
      <w:r w:rsidRPr="00B66A0D">
        <w:rPr>
          <w:rStyle w:val="FontStyle124"/>
          <w:rFonts w:ascii="Arial" w:hAnsi="Arial" w:cs="Arial"/>
          <w:sz w:val="20"/>
          <w:szCs w:val="20"/>
          <w:lang w:val="sr-Cyrl-CS" w:eastAsia="sr-Cyrl-CS"/>
        </w:rPr>
        <w:t>обухвата организације, службе и друга тела, осим високог образовања, која друштву пружају оне бесплатне заједничке услуге које се по тржишним условима не би могле обезбедити, а представљају израз економске и социјалне политике друштва; према дефиницији, овај сектор обухвата активности администрације, одбране и регулисања јавног реда; здравство, образовање, културу, рекреацију и друге друштвене услуге.</w:t>
      </w:r>
    </w:p>
    <w:p w:rsidR="00B66A0D" w:rsidRPr="00B66A0D" w:rsidRDefault="00B66A0D" w:rsidP="00B66A0D">
      <w:pPr>
        <w:pStyle w:val="Style7"/>
        <w:widowControl/>
        <w:spacing w:before="120" w:after="120" w:line="240" w:lineRule="auto"/>
        <w:ind w:firstLine="397"/>
        <w:rPr>
          <w:rStyle w:val="FontStyle124"/>
          <w:rFonts w:ascii="Arial" w:hAnsi="Arial" w:cs="Arial"/>
          <w:sz w:val="20"/>
          <w:szCs w:val="20"/>
          <w:lang w:val="sr-Cyrl-CS" w:eastAsia="sr-Cyrl-CS"/>
        </w:rPr>
      </w:pPr>
      <w:r w:rsidRPr="00B66A0D">
        <w:rPr>
          <w:rStyle w:val="FontStyle123"/>
          <w:rFonts w:ascii="Arial" w:hAnsi="Arial" w:cs="Arial"/>
          <w:sz w:val="20"/>
          <w:szCs w:val="20"/>
          <w:lang w:val="sr-Cyrl-CS" w:eastAsia="sr-Cyrl-CS"/>
        </w:rPr>
        <w:t xml:space="preserve">Сектор непрофитних организација </w:t>
      </w:r>
      <w:r w:rsidRPr="00B66A0D">
        <w:rPr>
          <w:rStyle w:val="FontStyle124"/>
          <w:rFonts w:ascii="Arial" w:hAnsi="Arial" w:cs="Arial"/>
          <w:sz w:val="20"/>
          <w:szCs w:val="20"/>
          <w:lang w:val="sr-Cyrl-CS" w:eastAsia="sr-Cyrl-CS"/>
        </w:rPr>
        <w:t>обухвата нетржишне приватне непрофитне организације које домаћинствима пружају услуге без наплате или по ниској цени. Ове организације могу бити основане од стране удружења грађана, ради обезбеђивања робе и услуга за чланове удружења или ради опште сврхе.</w:t>
      </w:r>
    </w:p>
    <w:p w:rsidR="00B66A0D" w:rsidRPr="00B66A0D" w:rsidRDefault="00B66A0D" w:rsidP="00B66A0D">
      <w:pPr>
        <w:pStyle w:val="Texto"/>
        <w:spacing w:before="120" w:after="120"/>
        <w:ind w:left="0" w:firstLine="397"/>
        <w:rPr>
          <w:rStyle w:val="FontStyle124"/>
          <w:rFonts w:ascii="Arial" w:hAnsi="Arial" w:cs="Arial"/>
          <w:color w:val="FF0000"/>
          <w:sz w:val="20"/>
          <w:szCs w:val="20"/>
          <w:lang w:val="sr-Cyrl-CS" w:eastAsia="sr-Cyrl-CS"/>
        </w:rPr>
      </w:pPr>
      <w:r w:rsidRPr="00B66A0D">
        <w:rPr>
          <w:rStyle w:val="FontStyle123"/>
          <w:rFonts w:ascii="Arial" w:hAnsi="Arial" w:cs="Arial"/>
          <w:sz w:val="20"/>
          <w:szCs w:val="20"/>
          <w:lang w:val="sr-Cyrl-CS" w:eastAsia="sr-Cyrl-CS"/>
        </w:rPr>
        <w:t xml:space="preserve">Сектор иностранства </w:t>
      </w:r>
      <w:r w:rsidRPr="00B66A0D">
        <w:rPr>
          <w:rStyle w:val="FontStyle124"/>
          <w:rFonts w:ascii="Arial" w:hAnsi="Arial" w:cs="Arial"/>
          <w:sz w:val="20"/>
          <w:szCs w:val="20"/>
          <w:lang w:val="sr-Cyrl-CS" w:eastAsia="sr-Cyrl-CS"/>
        </w:rPr>
        <w:t>обухвата организације и појединце који се налазе изван политичких граница земље, као и одговарајуће земљиште у поседу тих организација. Обухвата и све међународне организације, укључујући и њихове објекте на домаћој територији. У сектор иностранства не треба укључивати опште доприносе организацијама као што су УН</w:t>
      </w:r>
      <w:r w:rsidRPr="00B66A0D">
        <w:rPr>
          <w:rStyle w:val="FontStyle124"/>
          <w:rFonts w:ascii="Arial" w:hAnsi="Arial" w:cs="Arial"/>
          <w:sz w:val="20"/>
          <w:szCs w:val="20"/>
          <w:lang w:val="sr-Latn-CS" w:eastAsia="sr-Cyrl-CS"/>
        </w:rPr>
        <w:t xml:space="preserve">, OECD, </w:t>
      </w:r>
      <w:r w:rsidRPr="00B66A0D">
        <w:rPr>
          <w:rStyle w:val="FontStyle124"/>
          <w:rFonts w:ascii="Arial" w:hAnsi="Arial" w:cs="Arial"/>
          <w:sz w:val="20"/>
          <w:szCs w:val="20"/>
          <w:lang w:val="sr-Cyrl-CS" w:eastAsia="sr-Cyrl-CS"/>
        </w:rPr>
        <w:t>ЕУ</w:t>
      </w:r>
      <w:r w:rsidR="003226E8">
        <w:rPr>
          <w:rStyle w:val="FontStyle124"/>
          <w:rFonts w:ascii="Arial" w:hAnsi="Arial" w:cs="Arial"/>
          <w:sz w:val="20"/>
          <w:szCs w:val="20"/>
          <w:lang w:val="en-US" w:eastAsia="sr-Cyrl-CS"/>
        </w:rPr>
        <w:t xml:space="preserve"> </w:t>
      </w:r>
      <w:r w:rsidRPr="00B66A0D">
        <w:rPr>
          <w:rStyle w:val="FontStyle124"/>
          <w:rFonts w:ascii="Arial" w:hAnsi="Arial" w:cs="Arial"/>
          <w:sz w:val="20"/>
          <w:szCs w:val="20"/>
          <w:lang w:val="sr-Cyrl-CS" w:eastAsia="sr-Cyrl-CS"/>
        </w:rPr>
        <w:t>и сл.</w:t>
      </w:r>
    </w:p>
    <w:p w:rsidR="00B66A0D" w:rsidRPr="00BE0D25" w:rsidRDefault="00B66A0D" w:rsidP="00EA0A5A">
      <w:pPr>
        <w:ind w:right="57"/>
        <w:rPr>
          <w:rFonts w:cs="Arial"/>
          <w:szCs w:val="20"/>
        </w:rPr>
      </w:pPr>
    </w:p>
    <w:p w:rsidR="0041739D" w:rsidRPr="00BE0D25" w:rsidRDefault="0041739D" w:rsidP="006A7E8E">
      <w:pPr>
        <w:rPr>
          <w:rFonts w:cs="Arial"/>
          <w:szCs w:val="20"/>
          <w:lang w:val="ru-RU"/>
        </w:rPr>
      </w:pPr>
    </w:p>
    <w:tbl>
      <w:tblPr>
        <w:tblStyle w:val="TableClassic1"/>
        <w:tblpPr w:leftFromText="181" w:rightFromText="181" w:vertAnchor="page" w:horzAnchor="margin" w:tblpXSpec="center" w:tblpY="14176"/>
        <w:tblW w:w="4500" w:type="pct"/>
        <w:tblBorders>
          <w:top w:val="single" w:sz="12" w:space="0" w:color="808080"/>
          <w:bottom w:val="none" w:sz="0" w:space="0" w:color="auto"/>
        </w:tblBorders>
        <w:tblLook w:val="01E0" w:firstRow="1" w:lastRow="1" w:firstColumn="1" w:lastColumn="1" w:noHBand="0" w:noVBand="0"/>
      </w:tblPr>
      <w:tblGrid>
        <w:gridCol w:w="9379"/>
      </w:tblGrid>
      <w:tr w:rsidR="0041739D" w:rsidRPr="00BE0D25" w:rsidTr="00C4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9" w:type="dxa"/>
            <w:tcBorders>
              <w:bottom w:val="none" w:sz="0" w:space="0" w:color="auto"/>
              <w:right w:val="none" w:sz="0" w:space="0" w:color="auto"/>
            </w:tcBorders>
          </w:tcPr>
          <w:p w:rsidR="00B66A0D" w:rsidRPr="00B66A0D" w:rsidRDefault="00B66A0D" w:rsidP="00B66A0D">
            <w:pPr>
              <w:spacing w:before="120"/>
              <w:jc w:val="center"/>
              <w:rPr>
                <w:rFonts w:cs="Arial"/>
                <w:i w:val="0"/>
                <w:sz w:val="18"/>
                <w:szCs w:val="18"/>
              </w:rPr>
            </w:pPr>
            <w:r w:rsidRPr="00B66A0D">
              <w:rPr>
                <w:rFonts w:cs="Arial"/>
                <w:i w:val="0"/>
                <w:sz w:val="18"/>
                <w:szCs w:val="18"/>
              </w:rPr>
              <w:t xml:space="preserve">Контакт: </w:t>
            </w:r>
            <w:r>
              <w:rPr>
                <w:rFonts w:cs="Arial"/>
                <w:i w:val="0"/>
                <w:color w:val="0000FF"/>
                <w:sz w:val="18"/>
                <w:szCs w:val="18"/>
              </w:rPr>
              <w:t>suncica.stefanovic</w:t>
            </w:r>
            <w:r w:rsidRPr="00B66A0D">
              <w:rPr>
                <w:rFonts w:cs="Arial"/>
                <w:i w:val="0"/>
                <w:color w:val="0000FF"/>
                <w:sz w:val="18"/>
                <w:szCs w:val="18"/>
              </w:rPr>
              <w:t>@stat.gov.rs</w:t>
            </w:r>
            <w:r w:rsidRPr="00B66A0D">
              <w:rPr>
                <w:rFonts w:cs="Arial"/>
                <w:i w:val="0"/>
                <w:color w:val="0000FF"/>
                <w:sz w:val="18"/>
                <w:szCs w:val="18"/>
                <w:lang w:val="sr-Cyrl-CS"/>
              </w:rPr>
              <w:t>,</w:t>
            </w:r>
            <w:r w:rsidRPr="00B66A0D">
              <w:rPr>
                <w:rFonts w:cs="Arial"/>
                <w:i w:val="0"/>
                <w:sz w:val="18"/>
                <w:szCs w:val="18"/>
              </w:rPr>
              <w:t xml:space="preserve"> тел.: </w:t>
            </w:r>
            <w:r>
              <w:rPr>
                <w:rFonts w:cs="Arial"/>
                <w:i w:val="0"/>
                <w:color w:val="000000"/>
                <w:sz w:val="18"/>
                <w:szCs w:val="18"/>
              </w:rPr>
              <w:t>011 241</w:t>
            </w:r>
            <w:r w:rsidR="004F5565">
              <w:rPr>
                <w:rFonts w:cs="Arial"/>
                <w:i w:val="0"/>
                <w:color w:val="000000"/>
                <w:sz w:val="18"/>
                <w:szCs w:val="18"/>
              </w:rPr>
              <w:t>0</w:t>
            </w:r>
            <w:r>
              <w:rPr>
                <w:rFonts w:cs="Arial"/>
                <w:i w:val="0"/>
                <w:color w:val="000000"/>
                <w:sz w:val="18"/>
                <w:szCs w:val="18"/>
              </w:rPr>
              <w:t>-</w:t>
            </w:r>
            <w:r w:rsidR="004F5565">
              <w:rPr>
                <w:rFonts w:cs="Arial"/>
                <w:i w:val="0"/>
                <w:color w:val="000000"/>
                <w:sz w:val="18"/>
                <w:szCs w:val="18"/>
              </w:rPr>
              <w:t>414</w:t>
            </w:r>
            <w:r>
              <w:rPr>
                <w:rFonts w:cs="Arial"/>
                <w:i w:val="0"/>
                <w:color w:val="000000"/>
                <w:sz w:val="18"/>
                <w:szCs w:val="18"/>
              </w:rPr>
              <w:t xml:space="preserve">  </w:t>
            </w:r>
          </w:p>
          <w:p w:rsidR="0041739D" w:rsidRPr="00BE0D25" w:rsidRDefault="00B66A0D" w:rsidP="00195E38">
            <w:pPr>
              <w:jc w:val="center"/>
              <w:rPr>
                <w:rFonts w:cs="Arial"/>
                <w:i w:val="0"/>
                <w:lang w:val="sr-Cyrl-CS"/>
              </w:rPr>
            </w:pPr>
            <w:r w:rsidRPr="00B66A0D">
              <w:rPr>
                <w:rFonts w:cs="Arial"/>
                <w:i w:val="0"/>
                <w:sz w:val="18"/>
                <w:szCs w:val="18"/>
                <w:lang w:val="ru-RU"/>
              </w:rPr>
              <w:t xml:space="preserve">Издаје и штампа: Републички завод за статистику, </w:t>
            </w:r>
            <w:r w:rsidRPr="00B66A0D">
              <w:rPr>
                <w:rFonts w:cs="Arial"/>
                <w:i w:val="0"/>
                <w:sz w:val="18"/>
                <w:szCs w:val="18"/>
              </w:rPr>
              <w:t xml:space="preserve">11 050 </w:t>
            </w:r>
            <w:r w:rsidRPr="00B66A0D">
              <w:rPr>
                <w:rFonts w:cs="Arial"/>
                <w:i w:val="0"/>
                <w:sz w:val="18"/>
                <w:szCs w:val="18"/>
                <w:lang w:val="ru-RU"/>
              </w:rPr>
              <w:t>Београд, Милана</w:t>
            </w:r>
            <w:r w:rsidRPr="00B66A0D">
              <w:rPr>
                <w:rFonts w:cs="Arial"/>
                <w:i w:val="0"/>
                <w:sz w:val="18"/>
                <w:szCs w:val="18"/>
                <w:lang w:val="sr-Cyrl-CS"/>
              </w:rPr>
              <w:t xml:space="preserve"> Р</w:t>
            </w:r>
            <w:r w:rsidRPr="00B66A0D">
              <w:rPr>
                <w:rFonts w:cs="Arial"/>
                <w:i w:val="0"/>
                <w:sz w:val="18"/>
                <w:szCs w:val="18"/>
                <w:lang w:val="ru-RU"/>
              </w:rPr>
              <w:t xml:space="preserve">акића 5 </w:t>
            </w:r>
            <w:r w:rsidRPr="00B66A0D">
              <w:rPr>
                <w:rFonts w:cs="Arial"/>
                <w:i w:val="0"/>
                <w:sz w:val="18"/>
                <w:szCs w:val="18"/>
                <w:lang w:val="sr-Cyrl-CS"/>
              </w:rPr>
              <w:br/>
            </w:r>
            <w:r w:rsidRPr="00B66A0D">
              <w:rPr>
                <w:rFonts w:cs="Arial"/>
                <w:i w:val="0"/>
                <w:sz w:val="18"/>
                <w:szCs w:val="18"/>
                <w:lang w:val="sr-Latn-CS"/>
              </w:rPr>
              <w:t>T</w:t>
            </w:r>
            <w:r w:rsidRPr="00B66A0D">
              <w:rPr>
                <w:rFonts w:cs="Arial"/>
                <w:i w:val="0"/>
                <w:sz w:val="18"/>
                <w:szCs w:val="18"/>
                <w:lang w:val="ru-RU"/>
              </w:rPr>
              <w:t xml:space="preserve">елефон: 011 </w:t>
            </w:r>
            <w:r w:rsidRPr="00B66A0D">
              <w:rPr>
                <w:rFonts w:cs="Arial"/>
                <w:i w:val="0"/>
                <w:sz w:val="18"/>
                <w:szCs w:val="18"/>
                <w:lang w:val="sr-Cyrl-CS"/>
              </w:rPr>
              <w:t>2</w:t>
            </w:r>
            <w:r w:rsidRPr="00B66A0D">
              <w:rPr>
                <w:rFonts w:cs="Arial"/>
                <w:i w:val="0"/>
                <w:sz w:val="18"/>
                <w:szCs w:val="18"/>
                <w:lang w:val="ru-RU"/>
              </w:rPr>
              <w:t xml:space="preserve">412-922 (централа) • </w:t>
            </w:r>
            <w:r w:rsidRPr="00B66A0D">
              <w:rPr>
                <w:rFonts w:cs="Arial"/>
                <w:i w:val="0"/>
                <w:sz w:val="18"/>
                <w:szCs w:val="18"/>
                <w:lang w:val="sr-Latn-CS"/>
              </w:rPr>
              <w:t>T</w:t>
            </w:r>
            <w:r w:rsidRPr="00B66A0D">
              <w:rPr>
                <w:rFonts w:cs="Arial"/>
                <w:i w:val="0"/>
                <w:sz w:val="18"/>
                <w:szCs w:val="18"/>
                <w:lang w:val="ru-RU"/>
              </w:rPr>
              <w:t>елефакс: 011 2411</w:t>
            </w:r>
            <w:r w:rsidRPr="00B66A0D">
              <w:rPr>
                <w:rFonts w:cs="Arial"/>
                <w:i w:val="0"/>
                <w:sz w:val="18"/>
                <w:szCs w:val="18"/>
                <w:lang w:val="sr-Cyrl-CS"/>
              </w:rPr>
              <w:t>-</w:t>
            </w:r>
            <w:r w:rsidRPr="00B66A0D">
              <w:rPr>
                <w:rFonts w:cs="Arial"/>
                <w:i w:val="0"/>
                <w:sz w:val="18"/>
                <w:szCs w:val="18"/>
                <w:lang w:val="ru-RU"/>
              </w:rPr>
              <w:t>260 •</w:t>
            </w:r>
            <w:r w:rsidR="008F5D75">
              <w:rPr>
                <w:rFonts w:cs="Arial"/>
                <w:i w:val="0"/>
                <w:sz w:val="18"/>
                <w:szCs w:val="18"/>
                <w:lang w:val="ru-RU"/>
              </w:rPr>
              <w:t xml:space="preserve"> </w:t>
            </w:r>
            <w:r w:rsidRPr="00B66A0D">
              <w:rPr>
                <w:rFonts w:cs="Arial"/>
                <w:i w:val="0"/>
                <w:sz w:val="18"/>
                <w:szCs w:val="18"/>
                <w:lang w:val="sr-Latn-CS"/>
              </w:rPr>
              <w:t>www.stat.gov.rs</w:t>
            </w:r>
            <w:r w:rsidRPr="00B66A0D">
              <w:rPr>
                <w:rFonts w:cs="Arial"/>
                <w:i w:val="0"/>
                <w:sz w:val="18"/>
                <w:szCs w:val="18"/>
                <w:lang w:val="sr-Cyrl-CS"/>
              </w:rPr>
              <w:br/>
            </w:r>
            <w:r w:rsidRPr="00B66A0D">
              <w:rPr>
                <w:rFonts w:cs="Arial"/>
                <w:i w:val="0"/>
                <w:sz w:val="18"/>
                <w:szCs w:val="18"/>
                <w:lang w:val="ru-RU"/>
              </w:rPr>
              <w:t xml:space="preserve">Одговара: </w:t>
            </w:r>
            <w:r w:rsidRPr="00B66A0D">
              <w:rPr>
                <w:rFonts w:cs="Arial"/>
                <w:i w:val="0"/>
                <w:sz w:val="18"/>
                <w:szCs w:val="18"/>
                <w:lang w:val="sr-Cyrl-CS"/>
              </w:rPr>
              <w:t xml:space="preserve">др Миладин Ковачевић, </w:t>
            </w:r>
            <w:r w:rsidR="00195E38">
              <w:rPr>
                <w:rFonts w:cs="Arial"/>
                <w:i w:val="0"/>
                <w:sz w:val="18"/>
                <w:szCs w:val="18"/>
                <w:lang w:val="ru-RU"/>
              </w:rPr>
              <w:t>директор</w:t>
            </w:r>
            <w:r w:rsidRPr="00B66A0D">
              <w:rPr>
                <w:rFonts w:cs="Arial"/>
                <w:i w:val="0"/>
                <w:sz w:val="18"/>
                <w:szCs w:val="18"/>
                <w:lang w:val="ru-RU"/>
              </w:rPr>
              <w:t xml:space="preserve"> </w:t>
            </w:r>
            <w:r w:rsidRPr="00B66A0D">
              <w:rPr>
                <w:rFonts w:cs="Arial"/>
                <w:i w:val="0"/>
                <w:sz w:val="18"/>
                <w:szCs w:val="18"/>
                <w:lang w:val="sr-Cyrl-CS"/>
              </w:rPr>
              <w:br/>
            </w:r>
            <w:r w:rsidRPr="00B66A0D">
              <w:rPr>
                <w:rFonts w:cs="Arial"/>
                <w:i w:val="0"/>
                <w:sz w:val="18"/>
                <w:szCs w:val="18"/>
                <w:lang w:val="sr-Latn-CS"/>
              </w:rPr>
              <w:t>T</w:t>
            </w:r>
            <w:r w:rsidRPr="00B66A0D">
              <w:rPr>
                <w:rFonts w:cs="Arial"/>
                <w:i w:val="0"/>
                <w:sz w:val="18"/>
                <w:szCs w:val="18"/>
                <w:lang w:val="ru-RU"/>
              </w:rPr>
              <w:t xml:space="preserve">ираж: </w:t>
            </w:r>
            <w:r w:rsidRPr="00B66A0D">
              <w:rPr>
                <w:rFonts w:cs="Arial"/>
                <w:i w:val="0"/>
                <w:sz w:val="18"/>
                <w:szCs w:val="18"/>
                <w:lang w:val="sr-Latn-CS"/>
              </w:rPr>
              <w:t>20</w:t>
            </w:r>
            <w:r w:rsidRPr="00B66A0D">
              <w:rPr>
                <w:rFonts w:cs="Arial"/>
                <w:i w:val="0"/>
                <w:sz w:val="18"/>
                <w:szCs w:val="18"/>
                <w:lang w:val="ru-RU"/>
              </w:rPr>
              <w:t xml:space="preserve"> ● Периодика излажења: </w:t>
            </w:r>
            <w:r w:rsidRPr="00B66A0D">
              <w:rPr>
                <w:rFonts w:cs="Arial"/>
                <w:i w:val="0"/>
                <w:sz w:val="18"/>
                <w:szCs w:val="18"/>
                <w:lang w:val="sr-Cyrl-CS"/>
              </w:rPr>
              <w:t>годишња</w:t>
            </w:r>
          </w:p>
        </w:tc>
      </w:tr>
    </w:tbl>
    <w:p w:rsidR="009324E6" w:rsidRPr="00BE0D25" w:rsidRDefault="009324E6" w:rsidP="003A7718">
      <w:pPr>
        <w:rPr>
          <w:rFonts w:cs="Arial"/>
          <w:lang w:val="ru-RU"/>
        </w:rPr>
      </w:pPr>
    </w:p>
    <w:sectPr w:rsidR="009324E6" w:rsidRPr="00BE0D25"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C9" w:rsidRDefault="009F33C9">
      <w:r>
        <w:separator/>
      </w:r>
    </w:p>
  </w:endnote>
  <w:endnote w:type="continuationSeparator" w:id="0">
    <w:p w:rsidR="009F33C9" w:rsidRDefault="009F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Classic1"/>
      <w:tblW w:w="0" w:type="auto"/>
      <w:jc w:val="center"/>
      <w:tblBorders>
        <w:top w:val="single" w:sz="4" w:space="0" w:color="auto"/>
        <w:bottom w:val="none" w:sz="0" w:space="0" w:color="auto"/>
      </w:tblBorders>
      <w:tblCellMar>
        <w:left w:w="28" w:type="dxa"/>
        <w:right w:w="28" w:type="dxa"/>
      </w:tblCellMar>
      <w:tblLook w:val="01E0" w:firstRow="1" w:lastRow="1" w:firstColumn="1" w:lastColumn="1" w:noHBand="0" w:noVBand="0"/>
    </w:tblPr>
    <w:tblGrid>
      <w:gridCol w:w="5126"/>
      <w:gridCol w:w="5135"/>
    </w:tblGrid>
    <w:tr w:rsidR="0071623E" w:rsidRPr="00D5497F" w:rsidTr="00D549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0" w:type="dxa"/>
          <w:tcBorders>
            <w:bottom w:val="none" w:sz="0" w:space="0" w:color="auto"/>
            <w:right w:val="none" w:sz="0" w:space="0" w:color="auto"/>
          </w:tcBorders>
        </w:tcPr>
        <w:p w:rsidR="0071623E" w:rsidRPr="00D5497F" w:rsidRDefault="0071623E" w:rsidP="0041739D">
          <w:pPr>
            <w:spacing w:before="120"/>
            <w:rPr>
              <w:i w:val="0"/>
              <w:sz w:val="16"/>
              <w:szCs w:val="16"/>
            </w:rPr>
          </w:pPr>
          <w:r w:rsidRPr="00D5497F">
            <w:rPr>
              <w:sz w:val="16"/>
              <w:szCs w:val="16"/>
            </w:rPr>
            <w:fldChar w:fldCharType="begin"/>
          </w:r>
          <w:r w:rsidRPr="00D5497F">
            <w:rPr>
              <w:i w:val="0"/>
              <w:sz w:val="16"/>
              <w:szCs w:val="16"/>
            </w:rPr>
            <w:instrText xml:space="preserve"> PAGE </w:instrText>
          </w:r>
          <w:r w:rsidRPr="00D5497F">
            <w:rPr>
              <w:sz w:val="16"/>
              <w:szCs w:val="16"/>
            </w:rPr>
            <w:fldChar w:fldCharType="separate"/>
          </w:r>
          <w:r w:rsidR="00981249">
            <w:rPr>
              <w:i w:val="0"/>
              <w:noProof/>
              <w:sz w:val="16"/>
              <w:szCs w:val="16"/>
            </w:rPr>
            <w:t>4</w:t>
          </w:r>
          <w:r w:rsidRPr="00D5497F">
            <w:rPr>
              <w:sz w:val="16"/>
              <w:szCs w:val="16"/>
            </w:rPr>
            <w:fldChar w:fldCharType="end"/>
          </w:r>
        </w:p>
      </w:tc>
      <w:tc>
        <w:tcPr>
          <w:cnfStyle w:val="000000001000" w:firstRow="0" w:lastRow="0" w:firstColumn="0" w:lastColumn="0" w:oddVBand="0" w:evenVBand="0" w:oddHBand="0" w:evenHBand="0" w:firstRowFirstColumn="0" w:firstRowLastColumn="1" w:lastRowFirstColumn="0" w:lastRowLastColumn="0"/>
          <w:tcW w:w="5211" w:type="dxa"/>
          <w:tcBorders>
            <w:bottom w:val="none" w:sz="0" w:space="0" w:color="auto"/>
          </w:tcBorders>
        </w:tcPr>
        <w:p w:rsidR="0071623E" w:rsidRPr="00745284" w:rsidRDefault="0071623E" w:rsidP="00745284">
          <w:pPr>
            <w:spacing w:before="120"/>
            <w:jc w:val="right"/>
            <w:rPr>
              <w:b w:val="0"/>
              <w:sz w:val="16"/>
              <w:szCs w:val="16"/>
              <w:lang w:val="sr-Cyrl-RS"/>
            </w:rPr>
          </w:pPr>
          <w:r w:rsidRPr="00D5497F">
            <w:rPr>
              <w:b w:val="0"/>
              <w:sz w:val="16"/>
              <w:szCs w:val="16"/>
            </w:rPr>
            <w:t>СРБ</w:t>
          </w:r>
          <w:r>
            <w:rPr>
              <w:b w:val="0"/>
              <w:sz w:val="16"/>
              <w:szCs w:val="16"/>
              <w:lang w:val="sr-Cyrl-RS"/>
            </w:rPr>
            <w:t>133</w:t>
          </w:r>
          <w:r w:rsidRPr="00D5497F">
            <w:rPr>
              <w:b w:val="0"/>
              <w:sz w:val="16"/>
              <w:szCs w:val="16"/>
            </w:rPr>
            <w:t xml:space="preserve"> ИР10 </w:t>
          </w:r>
          <w:r>
            <w:rPr>
              <w:b w:val="0"/>
              <w:sz w:val="16"/>
              <w:szCs w:val="16"/>
              <w:lang w:val="sr-Cyrl-RS"/>
            </w:rPr>
            <w:t>3</w:t>
          </w:r>
          <w:r w:rsidRPr="00D5497F">
            <w:rPr>
              <w:b w:val="0"/>
              <w:sz w:val="16"/>
              <w:szCs w:val="16"/>
            </w:rPr>
            <w:t>00</w:t>
          </w:r>
          <w:r>
            <w:rPr>
              <w:b w:val="0"/>
              <w:sz w:val="16"/>
              <w:szCs w:val="16"/>
              <w:lang w:val="sr-Cyrl-RS"/>
            </w:rPr>
            <w:t>617</w:t>
          </w:r>
        </w:p>
      </w:tc>
    </w:tr>
  </w:tbl>
  <w:p w:rsidR="0071623E" w:rsidRPr="00B66A0D" w:rsidRDefault="0071623E"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Classic1"/>
      <w:tblW w:w="0" w:type="auto"/>
      <w:jc w:val="center"/>
      <w:tblBorders>
        <w:top w:val="single" w:sz="4" w:space="0" w:color="auto"/>
        <w:bottom w:val="none" w:sz="0" w:space="0" w:color="auto"/>
      </w:tblBorders>
      <w:tblCellMar>
        <w:left w:w="28" w:type="dxa"/>
        <w:right w:w="28" w:type="dxa"/>
      </w:tblCellMar>
      <w:tblLook w:val="01E0" w:firstRow="1" w:lastRow="1" w:firstColumn="1" w:lastColumn="1" w:noHBand="0" w:noVBand="0"/>
    </w:tblPr>
    <w:tblGrid>
      <w:gridCol w:w="5134"/>
      <w:gridCol w:w="5127"/>
    </w:tblGrid>
    <w:tr w:rsidR="0071623E" w:rsidRPr="00D5497F" w:rsidTr="00D549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0" w:type="dxa"/>
          <w:tcBorders>
            <w:bottom w:val="none" w:sz="0" w:space="0" w:color="auto"/>
            <w:right w:val="none" w:sz="0" w:space="0" w:color="auto"/>
          </w:tcBorders>
        </w:tcPr>
        <w:p w:rsidR="0071623E" w:rsidRPr="00745284" w:rsidRDefault="0071623E" w:rsidP="00745284">
          <w:pPr>
            <w:spacing w:before="120"/>
            <w:rPr>
              <w:i w:val="0"/>
              <w:sz w:val="16"/>
              <w:szCs w:val="16"/>
              <w:lang w:val="sr-Cyrl-RS"/>
            </w:rPr>
          </w:pPr>
          <w:r w:rsidRPr="00D5497F">
            <w:rPr>
              <w:i w:val="0"/>
              <w:sz w:val="16"/>
              <w:szCs w:val="16"/>
            </w:rPr>
            <w:t>СРБ</w:t>
          </w:r>
          <w:r>
            <w:rPr>
              <w:i w:val="0"/>
              <w:sz w:val="16"/>
              <w:szCs w:val="16"/>
              <w:lang w:val="sr-Cyrl-RS"/>
            </w:rPr>
            <w:t>133</w:t>
          </w:r>
          <w:r w:rsidRPr="00D5497F">
            <w:rPr>
              <w:i w:val="0"/>
              <w:sz w:val="16"/>
              <w:szCs w:val="16"/>
            </w:rPr>
            <w:t xml:space="preserve"> ИР10 </w:t>
          </w:r>
          <w:r>
            <w:rPr>
              <w:i w:val="0"/>
              <w:sz w:val="16"/>
              <w:szCs w:val="16"/>
              <w:lang w:val="sr-Cyrl-RS"/>
            </w:rPr>
            <w:t>3</w:t>
          </w:r>
          <w:r w:rsidRPr="00D5497F">
            <w:rPr>
              <w:i w:val="0"/>
              <w:sz w:val="16"/>
              <w:szCs w:val="16"/>
            </w:rPr>
            <w:t>00</w:t>
          </w:r>
          <w:r>
            <w:rPr>
              <w:i w:val="0"/>
              <w:sz w:val="16"/>
              <w:szCs w:val="16"/>
              <w:lang w:val="sr-Cyrl-RS"/>
            </w:rPr>
            <w:t>617</w:t>
          </w:r>
        </w:p>
      </w:tc>
      <w:tc>
        <w:tcPr>
          <w:cnfStyle w:val="000000001000" w:firstRow="0" w:lastRow="0" w:firstColumn="0" w:lastColumn="0" w:oddVBand="0" w:evenVBand="0" w:oddHBand="0" w:evenHBand="0" w:firstRowFirstColumn="0" w:firstRowLastColumn="1" w:lastRowFirstColumn="0" w:lastRowLastColumn="0"/>
          <w:tcW w:w="5211" w:type="dxa"/>
          <w:tcBorders>
            <w:bottom w:val="none" w:sz="0" w:space="0" w:color="auto"/>
          </w:tcBorders>
        </w:tcPr>
        <w:p w:rsidR="0071623E" w:rsidRPr="00D5497F" w:rsidRDefault="0071623E" w:rsidP="002338F2">
          <w:pPr>
            <w:spacing w:before="120"/>
            <w:jc w:val="right"/>
            <w:rPr>
              <w:b w:val="0"/>
              <w:sz w:val="16"/>
              <w:szCs w:val="16"/>
            </w:rPr>
          </w:pPr>
          <w:r w:rsidRPr="00D5497F">
            <w:rPr>
              <w:sz w:val="16"/>
              <w:szCs w:val="16"/>
            </w:rPr>
            <w:fldChar w:fldCharType="begin"/>
          </w:r>
          <w:r w:rsidRPr="00D5497F">
            <w:rPr>
              <w:b w:val="0"/>
              <w:sz w:val="16"/>
              <w:szCs w:val="16"/>
            </w:rPr>
            <w:instrText xml:space="preserve"> PAGE </w:instrText>
          </w:r>
          <w:r w:rsidRPr="00D5497F">
            <w:rPr>
              <w:sz w:val="16"/>
              <w:szCs w:val="16"/>
            </w:rPr>
            <w:fldChar w:fldCharType="separate"/>
          </w:r>
          <w:r w:rsidR="00981249">
            <w:rPr>
              <w:b w:val="0"/>
              <w:noProof/>
              <w:sz w:val="16"/>
              <w:szCs w:val="16"/>
            </w:rPr>
            <w:t>3</w:t>
          </w:r>
          <w:r w:rsidRPr="00D5497F">
            <w:rPr>
              <w:sz w:val="16"/>
              <w:szCs w:val="16"/>
            </w:rPr>
            <w:fldChar w:fldCharType="end"/>
          </w:r>
        </w:p>
      </w:tc>
    </w:tr>
  </w:tbl>
  <w:p w:rsidR="0071623E" w:rsidRPr="00B66A0D" w:rsidRDefault="0071623E" w:rsidP="00B66A0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C9" w:rsidRDefault="009F33C9">
      <w:r>
        <w:separator/>
      </w:r>
    </w:p>
  </w:footnote>
  <w:footnote w:type="continuationSeparator" w:id="0">
    <w:p w:rsidR="009F33C9" w:rsidRDefault="009F3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58E4788"/>
    <w:multiLevelType w:val="hybridMultilevel"/>
    <w:tmpl w:val="F350DA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nsid w:val="13AC5622"/>
    <w:multiLevelType w:val="hybridMultilevel"/>
    <w:tmpl w:val="A9F2443C"/>
    <w:lvl w:ilvl="0" w:tplc="4A8C2F0E">
      <w:numFmt w:val="bullet"/>
      <w:lvlText w:val="−"/>
      <w:lvlJc w:val="left"/>
      <w:pPr>
        <w:ind w:left="1440" w:hanging="360"/>
      </w:pPr>
      <w:rPr>
        <w:rFonts w:ascii="Arial" w:eastAsia="Times New Roman" w:hAnsi="Arial" w:cs="Aria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5">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763DB8"/>
    <w:multiLevelType w:val="hybridMultilevel"/>
    <w:tmpl w:val="EF309BA4"/>
    <w:lvl w:ilvl="0" w:tplc="36BADF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14861"/>
    <w:multiLevelType w:val="hybridMultilevel"/>
    <w:tmpl w:val="5DB69C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74505B1"/>
    <w:multiLevelType w:val="hybridMultilevel"/>
    <w:tmpl w:val="EC062026"/>
    <w:lvl w:ilvl="0" w:tplc="6A80415C">
      <w:numFmt w:val="bullet"/>
      <w:lvlText w:val="−"/>
      <w:lvlJc w:val="left"/>
      <w:pPr>
        <w:ind w:left="1080" w:hanging="360"/>
      </w:pPr>
      <w:rPr>
        <w:rFonts w:ascii="Arial" w:eastAsia="Times New Roman" w:hAnsi="Arial" w:cs="Aria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1">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4B0B17EB"/>
    <w:multiLevelType w:val="hybridMultilevel"/>
    <w:tmpl w:val="A088FDC0"/>
    <w:lvl w:ilvl="0" w:tplc="241A000F">
      <w:start w:val="1"/>
      <w:numFmt w:val="decimal"/>
      <w:lvlText w:val="%1."/>
      <w:lvlJc w:val="left"/>
      <w:pPr>
        <w:ind w:left="36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4DED525A"/>
    <w:multiLevelType w:val="hybridMultilevel"/>
    <w:tmpl w:val="56F206FE"/>
    <w:lvl w:ilvl="0" w:tplc="890C326A">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4">
    <w:nsid w:val="58B729E7"/>
    <w:multiLevelType w:val="hybridMultilevel"/>
    <w:tmpl w:val="50E6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7">
    <w:nsid w:val="642069D7"/>
    <w:multiLevelType w:val="hybridMultilevel"/>
    <w:tmpl w:val="0F5EED16"/>
    <w:lvl w:ilvl="0" w:tplc="3DE285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D132690"/>
    <w:multiLevelType w:val="hybridMultilevel"/>
    <w:tmpl w:val="20E2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28"/>
  </w:num>
  <w:num w:numId="13">
    <w:abstractNumId w:val="8"/>
  </w:num>
  <w:num w:numId="14">
    <w:abstractNumId w:val="35"/>
  </w:num>
  <w:num w:numId="15">
    <w:abstractNumId w:val="31"/>
  </w:num>
  <w:num w:numId="16">
    <w:abstractNumId w:val="13"/>
  </w:num>
  <w:num w:numId="17">
    <w:abstractNumId w:val="15"/>
  </w:num>
  <w:num w:numId="18">
    <w:abstractNumId w:val="39"/>
  </w:num>
  <w:num w:numId="19">
    <w:abstractNumId w:val="27"/>
  </w:num>
  <w:num w:numId="20">
    <w:abstractNumId w:val="24"/>
  </w:num>
  <w:num w:numId="21">
    <w:abstractNumId w:val="38"/>
  </w:num>
  <w:num w:numId="22">
    <w:abstractNumId w:val="29"/>
  </w:num>
  <w:num w:numId="23">
    <w:abstractNumId w:val="26"/>
  </w:num>
  <w:num w:numId="24">
    <w:abstractNumId w:val="19"/>
  </w:num>
  <w:num w:numId="25">
    <w:abstractNumId w:val="18"/>
  </w:num>
  <w:num w:numId="26">
    <w:abstractNumId w:val="22"/>
  </w:num>
  <w:num w:numId="27">
    <w:abstractNumId w:val="36"/>
  </w:num>
  <w:num w:numId="28">
    <w:abstractNumId w:val="12"/>
  </w:num>
  <w:num w:numId="29">
    <w:abstractNumId w:val="33"/>
  </w:num>
  <w:num w:numId="30">
    <w:abstractNumId w:val="25"/>
  </w:num>
  <w:num w:numId="31">
    <w:abstractNumId w:val="23"/>
  </w:num>
  <w:num w:numId="32">
    <w:abstractNumId w:val="10"/>
  </w:num>
  <w:num w:numId="33">
    <w:abstractNumId w:val="37"/>
  </w:num>
  <w:num w:numId="34">
    <w:abstractNumId w:val="30"/>
  </w:num>
  <w:num w:numId="35">
    <w:abstractNumId w:val="11"/>
  </w:num>
  <w:num w:numId="36">
    <w:abstractNumId w:val="17"/>
  </w:num>
  <w:num w:numId="37">
    <w:abstractNumId w:val="32"/>
  </w:num>
  <w:num w:numId="38">
    <w:abstractNumId w:val="20"/>
  </w:num>
  <w:num w:numId="39">
    <w:abstractNumId w:val="14"/>
  </w:num>
  <w:num w:numId="40">
    <w:abstractNumId w:val="16"/>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5269DF"/>
    <w:rsid w:val="00003C6F"/>
    <w:rsid w:val="000049E7"/>
    <w:rsid w:val="00007746"/>
    <w:rsid w:val="00021C9B"/>
    <w:rsid w:val="00030FD2"/>
    <w:rsid w:val="00045E96"/>
    <w:rsid w:val="000524B1"/>
    <w:rsid w:val="000621A4"/>
    <w:rsid w:val="00072A3E"/>
    <w:rsid w:val="00077F5F"/>
    <w:rsid w:val="000B2BB2"/>
    <w:rsid w:val="000D4726"/>
    <w:rsid w:val="000E0A38"/>
    <w:rsid w:val="000F5608"/>
    <w:rsid w:val="001034CA"/>
    <w:rsid w:val="00103BFF"/>
    <w:rsid w:val="001057A8"/>
    <w:rsid w:val="00110976"/>
    <w:rsid w:val="0011794A"/>
    <w:rsid w:val="001209D9"/>
    <w:rsid w:val="00120DC5"/>
    <w:rsid w:val="00122EDE"/>
    <w:rsid w:val="001245F5"/>
    <w:rsid w:val="00131015"/>
    <w:rsid w:val="0014018B"/>
    <w:rsid w:val="00141487"/>
    <w:rsid w:val="001521B5"/>
    <w:rsid w:val="00161C21"/>
    <w:rsid w:val="00165B24"/>
    <w:rsid w:val="00174E1D"/>
    <w:rsid w:val="001849D9"/>
    <w:rsid w:val="00192AB0"/>
    <w:rsid w:val="001956CF"/>
    <w:rsid w:val="00195E38"/>
    <w:rsid w:val="001A1F86"/>
    <w:rsid w:val="001F5E9B"/>
    <w:rsid w:val="00202418"/>
    <w:rsid w:val="00203A67"/>
    <w:rsid w:val="00225696"/>
    <w:rsid w:val="002338F2"/>
    <w:rsid w:val="002466BA"/>
    <w:rsid w:val="002577D1"/>
    <w:rsid w:val="00266953"/>
    <w:rsid w:val="002671EC"/>
    <w:rsid w:val="00293D28"/>
    <w:rsid w:val="002B5D10"/>
    <w:rsid w:val="002D6855"/>
    <w:rsid w:val="002E374F"/>
    <w:rsid w:val="002F7667"/>
    <w:rsid w:val="003156E7"/>
    <w:rsid w:val="00315A3D"/>
    <w:rsid w:val="00316DFD"/>
    <w:rsid w:val="003226E8"/>
    <w:rsid w:val="00323F7E"/>
    <w:rsid w:val="003357E7"/>
    <w:rsid w:val="003472A6"/>
    <w:rsid w:val="00367CA1"/>
    <w:rsid w:val="003739B4"/>
    <w:rsid w:val="003912B6"/>
    <w:rsid w:val="0039213E"/>
    <w:rsid w:val="003A1813"/>
    <w:rsid w:val="003A2F46"/>
    <w:rsid w:val="003A7718"/>
    <w:rsid w:val="003B55FA"/>
    <w:rsid w:val="003C4653"/>
    <w:rsid w:val="003D76BB"/>
    <w:rsid w:val="003E06F2"/>
    <w:rsid w:val="003E3C34"/>
    <w:rsid w:val="003F3648"/>
    <w:rsid w:val="0041739D"/>
    <w:rsid w:val="00432F75"/>
    <w:rsid w:val="00443176"/>
    <w:rsid w:val="00451125"/>
    <w:rsid w:val="00451C29"/>
    <w:rsid w:val="004863EB"/>
    <w:rsid w:val="004909B1"/>
    <w:rsid w:val="004946DA"/>
    <w:rsid w:val="004958A5"/>
    <w:rsid w:val="00497B38"/>
    <w:rsid w:val="004A5006"/>
    <w:rsid w:val="004D0523"/>
    <w:rsid w:val="004E0F50"/>
    <w:rsid w:val="004E266D"/>
    <w:rsid w:val="004E5162"/>
    <w:rsid w:val="004E5ADD"/>
    <w:rsid w:val="004F3B0A"/>
    <w:rsid w:val="004F4876"/>
    <w:rsid w:val="004F4A78"/>
    <w:rsid w:val="004F5565"/>
    <w:rsid w:val="00505685"/>
    <w:rsid w:val="005062DF"/>
    <w:rsid w:val="005149EB"/>
    <w:rsid w:val="005219F2"/>
    <w:rsid w:val="005269DF"/>
    <w:rsid w:val="005452E1"/>
    <w:rsid w:val="005605E2"/>
    <w:rsid w:val="00563D09"/>
    <w:rsid w:val="00581DCF"/>
    <w:rsid w:val="00591F3B"/>
    <w:rsid w:val="00596A18"/>
    <w:rsid w:val="005C10E4"/>
    <w:rsid w:val="005C4034"/>
    <w:rsid w:val="005C7F51"/>
    <w:rsid w:val="005F319F"/>
    <w:rsid w:val="005F408E"/>
    <w:rsid w:val="00602BD8"/>
    <w:rsid w:val="006237AE"/>
    <w:rsid w:val="00623CFC"/>
    <w:rsid w:val="00626D5C"/>
    <w:rsid w:val="00626DB8"/>
    <w:rsid w:val="00627E99"/>
    <w:rsid w:val="00635D60"/>
    <w:rsid w:val="00642A4F"/>
    <w:rsid w:val="00642FCE"/>
    <w:rsid w:val="006441BC"/>
    <w:rsid w:val="0065749D"/>
    <w:rsid w:val="0067119B"/>
    <w:rsid w:val="00677A51"/>
    <w:rsid w:val="00687EA5"/>
    <w:rsid w:val="006A7E8E"/>
    <w:rsid w:val="006B45AC"/>
    <w:rsid w:val="006B570A"/>
    <w:rsid w:val="006B7517"/>
    <w:rsid w:val="006C078D"/>
    <w:rsid w:val="006C64B8"/>
    <w:rsid w:val="006D50DC"/>
    <w:rsid w:val="006E7AF4"/>
    <w:rsid w:val="006F1AFE"/>
    <w:rsid w:val="006F35D2"/>
    <w:rsid w:val="00700027"/>
    <w:rsid w:val="0070565D"/>
    <w:rsid w:val="0071623E"/>
    <w:rsid w:val="007226C0"/>
    <w:rsid w:val="0073113A"/>
    <w:rsid w:val="00734AE4"/>
    <w:rsid w:val="00737971"/>
    <w:rsid w:val="00743C6B"/>
    <w:rsid w:val="00745284"/>
    <w:rsid w:val="007644ED"/>
    <w:rsid w:val="00794FBC"/>
    <w:rsid w:val="007A551E"/>
    <w:rsid w:val="007C0DE1"/>
    <w:rsid w:val="007D4AF9"/>
    <w:rsid w:val="007E0BF1"/>
    <w:rsid w:val="007E26EA"/>
    <w:rsid w:val="007E2BD1"/>
    <w:rsid w:val="007E3FD2"/>
    <w:rsid w:val="007E6E68"/>
    <w:rsid w:val="007F1EB5"/>
    <w:rsid w:val="007F63EA"/>
    <w:rsid w:val="007F6667"/>
    <w:rsid w:val="00804D13"/>
    <w:rsid w:val="008174D7"/>
    <w:rsid w:val="0082655C"/>
    <w:rsid w:val="0083098A"/>
    <w:rsid w:val="00837EA3"/>
    <w:rsid w:val="00844340"/>
    <w:rsid w:val="00855564"/>
    <w:rsid w:val="00860F86"/>
    <w:rsid w:val="00865950"/>
    <w:rsid w:val="00891EC4"/>
    <w:rsid w:val="00894029"/>
    <w:rsid w:val="008B0EC4"/>
    <w:rsid w:val="008B63C9"/>
    <w:rsid w:val="008C3B72"/>
    <w:rsid w:val="008C44B8"/>
    <w:rsid w:val="008C4DA9"/>
    <w:rsid w:val="008D4A49"/>
    <w:rsid w:val="008F5D75"/>
    <w:rsid w:val="00902A55"/>
    <w:rsid w:val="00904BEC"/>
    <w:rsid w:val="00910F99"/>
    <w:rsid w:val="00917B9F"/>
    <w:rsid w:val="00931BB6"/>
    <w:rsid w:val="009324E6"/>
    <w:rsid w:val="00935F76"/>
    <w:rsid w:val="00940DEA"/>
    <w:rsid w:val="00953B72"/>
    <w:rsid w:val="00981249"/>
    <w:rsid w:val="00985BA6"/>
    <w:rsid w:val="00986803"/>
    <w:rsid w:val="009B1797"/>
    <w:rsid w:val="009C4802"/>
    <w:rsid w:val="009D28E8"/>
    <w:rsid w:val="009E0D17"/>
    <w:rsid w:val="009E3653"/>
    <w:rsid w:val="009E4CF4"/>
    <w:rsid w:val="009F33C9"/>
    <w:rsid w:val="00A06762"/>
    <w:rsid w:val="00A15EE6"/>
    <w:rsid w:val="00A20D67"/>
    <w:rsid w:val="00A6061F"/>
    <w:rsid w:val="00A61E29"/>
    <w:rsid w:val="00A62452"/>
    <w:rsid w:val="00A6467E"/>
    <w:rsid w:val="00A7556A"/>
    <w:rsid w:val="00A7683B"/>
    <w:rsid w:val="00A84F98"/>
    <w:rsid w:val="00A873F5"/>
    <w:rsid w:val="00A939B7"/>
    <w:rsid w:val="00AA3218"/>
    <w:rsid w:val="00AC27BF"/>
    <w:rsid w:val="00AC43D9"/>
    <w:rsid w:val="00AD3E6B"/>
    <w:rsid w:val="00B023CB"/>
    <w:rsid w:val="00B12F21"/>
    <w:rsid w:val="00B4128E"/>
    <w:rsid w:val="00B44F2B"/>
    <w:rsid w:val="00B64573"/>
    <w:rsid w:val="00B66A0D"/>
    <w:rsid w:val="00B803F7"/>
    <w:rsid w:val="00B865B0"/>
    <w:rsid w:val="00B967F5"/>
    <w:rsid w:val="00BA2A4A"/>
    <w:rsid w:val="00BC5F23"/>
    <w:rsid w:val="00BD7876"/>
    <w:rsid w:val="00BE0489"/>
    <w:rsid w:val="00BE0D25"/>
    <w:rsid w:val="00BF0C26"/>
    <w:rsid w:val="00C13D19"/>
    <w:rsid w:val="00C149A4"/>
    <w:rsid w:val="00C224CB"/>
    <w:rsid w:val="00C364EF"/>
    <w:rsid w:val="00C37F67"/>
    <w:rsid w:val="00C471EC"/>
    <w:rsid w:val="00C64B6F"/>
    <w:rsid w:val="00C81710"/>
    <w:rsid w:val="00C95931"/>
    <w:rsid w:val="00C97B5E"/>
    <w:rsid w:val="00CA16B2"/>
    <w:rsid w:val="00CA2888"/>
    <w:rsid w:val="00CA6488"/>
    <w:rsid w:val="00CC22BA"/>
    <w:rsid w:val="00CC2991"/>
    <w:rsid w:val="00CD28CC"/>
    <w:rsid w:val="00CD40C9"/>
    <w:rsid w:val="00CD52FE"/>
    <w:rsid w:val="00CD6DB8"/>
    <w:rsid w:val="00CD73D3"/>
    <w:rsid w:val="00CE084A"/>
    <w:rsid w:val="00CE0BFE"/>
    <w:rsid w:val="00CF20F9"/>
    <w:rsid w:val="00CF74C4"/>
    <w:rsid w:val="00D02A56"/>
    <w:rsid w:val="00D0316C"/>
    <w:rsid w:val="00D075D6"/>
    <w:rsid w:val="00D10819"/>
    <w:rsid w:val="00D44043"/>
    <w:rsid w:val="00D50F05"/>
    <w:rsid w:val="00D5306D"/>
    <w:rsid w:val="00D5497F"/>
    <w:rsid w:val="00D5713A"/>
    <w:rsid w:val="00D66EB9"/>
    <w:rsid w:val="00D712BC"/>
    <w:rsid w:val="00D7512C"/>
    <w:rsid w:val="00DA14AE"/>
    <w:rsid w:val="00DA4B86"/>
    <w:rsid w:val="00DD5CC1"/>
    <w:rsid w:val="00DF47F5"/>
    <w:rsid w:val="00E114B6"/>
    <w:rsid w:val="00E610E9"/>
    <w:rsid w:val="00E70E1F"/>
    <w:rsid w:val="00EA0A5A"/>
    <w:rsid w:val="00EA3114"/>
    <w:rsid w:val="00EB2073"/>
    <w:rsid w:val="00EB61D4"/>
    <w:rsid w:val="00EC0024"/>
    <w:rsid w:val="00EC4F79"/>
    <w:rsid w:val="00EC5853"/>
    <w:rsid w:val="00ED68B8"/>
    <w:rsid w:val="00EE222B"/>
    <w:rsid w:val="00EF2644"/>
    <w:rsid w:val="00EF3E24"/>
    <w:rsid w:val="00F018FE"/>
    <w:rsid w:val="00F03E2A"/>
    <w:rsid w:val="00F203FE"/>
    <w:rsid w:val="00F24D99"/>
    <w:rsid w:val="00F31CEE"/>
    <w:rsid w:val="00F368C3"/>
    <w:rsid w:val="00F43ADF"/>
    <w:rsid w:val="00F50635"/>
    <w:rsid w:val="00F554F4"/>
    <w:rsid w:val="00F56930"/>
    <w:rsid w:val="00F6517D"/>
    <w:rsid w:val="00F801A0"/>
    <w:rsid w:val="00F86959"/>
    <w:rsid w:val="00FA2886"/>
    <w:rsid w:val="00FC021A"/>
    <w:rsid w:val="00FC0B48"/>
    <w:rsid w:val="00FC5C22"/>
    <w:rsid w:val="00FF3BEC"/>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18"/>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Texto">
    <w:name w:val="Texto"/>
    <w:basedOn w:val="Normal"/>
    <w:uiPriority w:val="99"/>
    <w:rsid w:val="00F03E2A"/>
    <w:pPr>
      <w:tabs>
        <w:tab w:val="left" w:pos="397"/>
      </w:tabs>
      <w:spacing w:before="160"/>
      <w:ind w:left="397"/>
      <w:jc w:val="both"/>
    </w:pPr>
    <w:rPr>
      <w:rFonts w:ascii="Univers" w:hAnsi="Univers" w:cs="Univers"/>
      <w:szCs w:val="20"/>
      <w:lang w:val="en-GB" w:eastAsia="es-ES"/>
    </w:rPr>
  </w:style>
  <w:style w:type="character" w:customStyle="1" w:styleId="FontStyle123">
    <w:name w:val="Font Style123"/>
    <w:uiPriority w:val="99"/>
    <w:rsid w:val="00F03E2A"/>
    <w:rPr>
      <w:rFonts w:ascii="Tahoma" w:hAnsi="Tahoma" w:cs="Tahoma"/>
      <w:b/>
      <w:bCs/>
      <w:sz w:val="16"/>
      <w:szCs w:val="16"/>
    </w:rPr>
  </w:style>
  <w:style w:type="character" w:styleId="Hyperlink">
    <w:name w:val="Hyperlink"/>
    <w:basedOn w:val="DefaultParagraphFont"/>
    <w:uiPriority w:val="99"/>
    <w:rsid w:val="00FA2886"/>
    <w:rPr>
      <w:color w:val="0000FF"/>
      <w:u w:val="single"/>
    </w:rPr>
  </w:style>
  <w:style w:type="paragraph" w:customStyle="1" w:styleId="Style7">
    <w:name w:val="Style7"/>
    <w:basedOn w:val="Normal"/>
    <w:uiPriority w:val="99"/>
    <w:rsid w:val="00B44F2B"/>
    <w:pPr>
      <w:widowControl w:val="0"/>
      <w:autoSpaceDE w:val="0"/>
      <w:autoSpaceDN w:val="0"/>
      <w:adjustRightInd w:val="0"/>
      <w:spacing w:line="202" w:lineRule="exact"/>
      <w:jc w:val="both"/>
    </w:pPr>
    <w:rPr>
      <w:rFonts w:ascii="Tahoma" w:eastAsia="Batang" w:hAnsi="Tahoma" w:cs="Tahoma"/>
      <w:sz w:val="24"/>
      <w:lang w:eastAsia="ko-KR"/>
    </w:rPr>
  </w:style>
  <w:style w:type="paragraph" w:customStyle="1" w:styleId="Style15">
    <w:name w:val="Style15"/>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23">
    <w:name w:val="Style23"/>
    <w:basedOn w:val="Normal"/>
    <w:uiPriority w:val="99"/>
    <w:rsid w:val="00B44F2B"/>
    <w:pPr>
      <w:widowControl w:val="0"/>
      <w:autoSpaceDE w:val="0"/>
      <w:autoSpaceDN w:val="0"/>
      <w:adjustRightInd w:val="0"/>
      <w:jc w:val="both"/>
    </w:pPr>
    <w:rPr>
      <w:rFonts w:ascii="Tahoma" w:eastAsia="Batang" w:hAnsi="Tahoma" w:cs="Tahoma"/>
      <w:sz w:val="24"/>
      <w:lang w:eastAsia="ko-KR"/>
    </w:rPr>
  </w:style>
  <w:style w:type="paragraph" w:customStyle="1" w:styleId="Style38">
    <w:name w:val="Style38"/>
    <w:basedOn w:val="Normal"/>
    <w:uiPriority w:val="99"/>
    <w:rsid w:val="00B44F2B"/>
    <w:pPr>
      <w:widowControl w:val="0"/>
      <w:autoSpaceDE w:val="0"/>
      <w:autoSpaceDN w:val="0"/>
      <w:adjustRightInd w:val="0"/>
      <w:spacing w:line="437" w:lineRule="exact"/>
    </w:pPr>
    <w:rPr>
      <w:rFonts w:ascii="Tahoma" w:eastAsia="Batang" w:hAnsi="Tahoma" w:cs="Tahoma"/>
      <w:sz w:val="24"/>
      <w:lang w:eastAsia="ko-KR"/>
    </w:rPr>
  </w:style>
  <w:style w:type="character" w:customStyle="1" w:styleId="FontStyle116">
    <w:name w:val="Font Style116"/>
    <w:uiPriority w:val="99"/>
    <w:rsid w:val="00B44F2B"/>
    <w:rPr>
      <w:rFonts w:ascii="Tahoma" w:hAnsi="Tahoma" w:cs="Tahoma"/>
      <w:b/>
      <w:bCs/>
      <w:sz w:val="20"/>
      <w:szCs w:val="20"/>
    </w:rPr>
  </w:style>
  <w:style w:type="character" w:customStyle="1" w:styleId="FontStyle118">
    <w:name w:val="Font Style118"/>
    <w:uiPriority w:val="99"/>
    <w:rsid w:val="00B44F2B"/>
    <w:rPr>
      <w:rFonts w:ascii="Tahoma" w:hAnsi="Tahoma" w:cs="Tahoma"/>
      <w:i/>
      <w:iCs/>
      <w:sz w:val="16"/>
      <w:szCs w:val="16"/>
    </w:rPr>
  </w:style>
  <w:style w:type="character" w:customStyle="1" w:styleId="FontStyle124">
    <w:name w:val="Font Style124"/>
    <w:uiPriority w:val="99"/>
    <w:rsid w:val="00B44F2B"/>
    <w:rPr>
      <w:rFonts w:ascii="Tahoma" w:hAnsi="Tahoma" w:cs="Tahoma"/>
      <w:sz w:val="16"/>
      <w:szCs w:val="16"/>
    </w:rPr>
  </w:style>
  <w:style w:type="paragraph" w:customStyle="1" w:styleId="Style71">
    <w:name w:val="Style71"/>
    <w:basedOn w:val="Normal"/>
    <w:uiPriority w:val="99"/>
    <w:rsid w:val="00B44F2B"/>
    <w:pPr>
      <w:widowControl w:val="0"/>
      <w:autoSpaceDE w:val="0"/>
      <w:autoSpaceDN w:val="0"/>
      <w:adjustRightInd w:val="0"/>
      <w:spacing w:line="221" w:lineRule="exact"/>
      <w:jc w:val="both"/>
    </w:pPr>
    <w:rPr>
      <w:rFonts w:ascii="Tahoma" w:eastAsia="Batang" w:hAnsi="Tahoma" w:cs="Tahoma"/>
      <w:sz w:val="24"/>
      <w:lang w:eastAsia="ko-KR"/>
    </w:rPr>
  </w:style>
  <w:style w:type="paragraph" w:customStyle="1" w:styleId="CarCar">
    <w:name w:val="Car Car"/>
    <w:basedOn w:val="Normal"/>
    <w:rsid w:val="00B66A0D"/>
    <w:pPr>
      <w:spacing w:after="160" w:line="240" w:lineRule="exact"/>
    </w:pPr>
    <w:rPr>
      <w:rFonts w:ascii="Verdana" w:hAnsi="Verdana"/>
      <w:i/>
      <w:szCs w:val="20"/>
    </w:rPr>
  </w:style>
  <w:style w:type="paragraph" w:styleId="ListParagraph">
    <w:name w:val="List Paragraph"/>
    <w:basedOn w:val="Normal"/>
    <w:uiPriority w:val="34"/>
    <w:qFormat/>
    <w:rsid w:val="0005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80368">
      <w:bodyDiv w:val="1"/>
      <w:marLeft w:val="0"/>
      <w:marRight w:val="0"/>
      <w:marTop w:val="0"/>
      <w:marBottom w:val="0"/>
      <w:divBdr>
        <w:top w:val="none" w:sz="0" w:space="0" w:color="auto"/>
        <w:left w:val="none" w:sz="0" w:space="0" w:color="auto"/>
        <w:bottom w:val="none" w:sz="0" w:space="0" w:color="auto"/>
        <w:right w:val="none" w:sz="0" w:space="0" w:color="auto"/>
      </w:divBdr>
    </w:div>
    <w:div w:id="893008232">
      <w:bodyDiv w:val="1"/>
      <w:marLeft w:val="0"/>
      <w:marRight w:val="0"/>
      <w:marTop w:val="0"/>
      <w:marBottom w:val="0"/>
      <w:divBdr>
        <w:top w:val="none" w:sz="0" w:space="0" w:color="auto"/>
        <w:left w:val="none" w:sz="0" w:space="0" w:color="auto"/>
        <w:bottom w:val="none" w:sz="0" w:space="0" w:color="auto"/>
        <w:right w:val="none" w:sz="0" w:space="0" w:color="auto"/>
      </w:divBdr>
    </w:div>
    <w:div w:id="963391921">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99052830">
      <w:bodyDiv w:val="1"/>
      <w:marLeft w:val="0"/>
      <w:marRight w:val="0"/>
      <w:marTop w:val="0"/>
      <w:marBottom w:val="0"/>
      <w:divBdr>
        <w:top w:val="none" w:sz="0" w:space="0" w:color="auto"/>
        <w:left w:val="none" w:sz="0" w:space="0" w:color="auto"/>
        <w:bottom w:val="none" w:sz="0" w:space="0" w:color="auto"/>
        <w:right w:val="none" w:sz="0" w:space="0" w:color="auto"/>
      </w:divBdr>
    </w:div>
    <w:div w:id="19737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uncica.stefanovic\Desktop\Rezultati%20BIN%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42419478787341"/>
          <c:y val="0.12744191698259941"/>
          <c:w val="0.39541714064146016"/>
          <c:h val="0.82280937105084084"/>
        </c:manualLayout>
      </c:layout>
      <c:pieChart>
        <c:varyColors val="1"/>
        <c:ser>
          <c:idx val="0"/>
          <c:order val="0"/>
          <c:dPt>
            <c:idx val="0"/>
            <c:bubble3D val="0"/>
            <c:spPr>
              <a:solidFill>
                <a:schemeClr val="tx2">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AF2E-4538-B1A4-66B28EEB3B4F}"/>
              </c:ext>
            </c:extLst>
          </c:dPt>
          <c:dPt>
            <c:idx val="1"/>
            <c:bubble3D val="0"/>
            <c:spPr>
              <a:solidFill>
                <a:schemeClr val="tx2">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AF2E-4538-B1A4-66B28EEB3B4F}"/>
              </c:ext>
            </c:extLst>
          </c:dPt>
          <c:dPt>
            <c:idx val="2"/>
            <c:bubble3D val="0"/>
            <c:spPr>
              <a:solidFill>
                <a:schemeClr val="tx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AF2E-4538-B1A4-66B28EEB3B4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F2E-4538-B1A4-66B28EEB3B4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F2E-4538-B1A4-66B28EEB3B4F}"/>
              </c:ext>
            </c:extLst>
          </c:dPt>
          <c:dLbls>
            <c:dLbl>
              <c:idx val="0"/>
              <c:layout>
                <c:manualLayout>
                  <c:x val="0.21625503062117235"/>
                  <c:y val="1.0416666666666666E-2"/>
                </c:manualLayout>
              </c:layout>
              <c:tx>
                <c:rich>
                  <a:bodyPr/>
                  <a:lstStyle/>
                  <a:p>
                    <a:r>
                      <a:rPr lang="sr-Cyrl-RS"/>
                      <a:t>Нефинасијски (пословни) сектор, </a:t>
                    </a:r>
                  </a:p>
                  <a:p>
                    <a:r>
                      <a:rPr lang="sr-Cyrl-RS"/>
                      <a:t>3,91</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2E-4538-B1A4-66B28EEB3B4F}"/>
                </c:ext>
              </c:extLst>
            </c:dLbl>
            <c:dLbl>
              <c:idx val="1"/>
              <c:layout>
                <c:manualLayout>
                  <c:x val="3.7073490813648295E-2"/>
                  <c:y val="8.564778361038204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2E-4538-B1A4-66B28EEB3B4F}"/>
                </c:ext>
              </c:extLst>
            </c:dLbl>
            <c:dLbl>
              <c:idx val="2"/>
              <c:layout>
                <c:manualLayout>
                  <c:x val="-4.3207239720034998E-2"/>
                  <c:y val="-2.0032808398950133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2E-4538-B1A4-66B28EEB3B4F}"/>
                </c:ext>
              </c:extLst>
            </c:dLbl>
            <c:dLbl>
              <c:idx val="3"/>
              <c:layout>
                <c:manualLayout>
                  <c:x val="-8.5998140857392824E-2"/>
                  <c:y val="4.2981554389034705E-2"/>
                </c:manualLayout>
              </c:layout>
              <c:tx>
                <c:rich>
                  <a:bodyPr/>
                  <a:lstStyle/>
                  <a:p>
                    <a:r>
                      <a:rPr lang="sr-Cyrl-RS"/>
                      <a:t>Приватни непрофитни сектор,</a:t>
                    </a:r>
                  </a:p>
                  <a:p>
                    <a:r>
                      <a:rPr lang="sr-Cyrl-RS"/>
                      <a:t> 1,43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F2E-4538-B1A4-66B28EEB3B4F}"/>
                </c:ext>
              </c:extLst>
            </c:dLbl>
            <c:dLbl>
              <c:idx val="4"/>
              <c:layout>
                <c:manualLayout>
                  <c:x val="8.8782370953630799E-2"/>
                  <c:y val="-6.253791192767570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F2E-4538-B1A4-66B28EEB3B4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'T1'!$N$22:$R$22</c:f>
              <c:strCache>
                <c:ptCount val="5"/>
                <c:pt idx="0">
                  <c:v>Нефинасијски (пословни) сектор</c:v>
                </c:pt>
                <c:pt idx="1">
                  <c:v>Сектор државе</c:v>
                </c:pt>
                <c:pt idx="2">
                  <c:v>Високо образовање</c:v>
                </c:pt>
                <c:pt idx="3">
                  <c:v>Приватни непрофитни сектор</c:v>
                </c:pt>
                <c:pt idx="4">
                  <c:v>Иностранство</c:v>
                </c:pt>
              </c:strCache>
            </c:strRef>
          </c:cat>
          <c:val>
            <c:numRef>
              <c:f>'T1'!$N$23:$R$23</c:f>
              <c:numCache>
                <c:formatCode>0.00</c:formatCode>
                <c:ptCount val="5"/>
                <c:pt idx="0">
                  <c:v>3.9114531031389301</c:v>
                </c:pt>
                <c:pt idx="1">
                  <c:v>47.475299817054754</c:v>
                </c:pt>
                <c:pt idx="2">
                  <c:v>36.875657125187992</c:v>
                </c:pt>
                <c:pt idx="3">
                  <c:v>1.4278470949725703</c:v>
                </c:pt>
                <c:pt idx="4">
                  <c:v>10.309742859645752</c:v>
                </c:pt>
              </c:numCache>
            </c:numRef>
          </c:val>
          <c:extLst xmlns:c16r2="http://schemas.microsoft.com/office/drawing/2015/06/chart">
            <c:ext xmlns:c16="http://schemas.microsoft.com/office/drawing/2014/chart" uri="{C3380CC4-5D6E-409C-BE32-E72D297353CC}">
              <c16:uniqueId val="{0000000A-AF2E-4538-B1A4-66B28EEB3B4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Граф.2!$A$1:$A$14</c:f>
              <c:strCache>
                <c:ptCount val="14"/>
                <c:pt idx="0">
                  <c:v>Истраживање и експлоатација свемира</c:v>
                </c:pt>
                <c:pt idx="1">
                  <c:v>Образовање</c:v>
                </c:pt>
                <c:pt idx="2">
                  <c:v>Истраживање и експлоатација Земље</c:v>
                </c:pt>
                <c:pt idx="3">
                  <c:v>Енергија</c:v>
                </c:pt>
                <c:pt idx="4">
                  <c:v>Култура, рекреација, религија и масовни медији</c:v>
                </c:pt>
                <c:pt idx="5">
                  <c:v>Транспорт, телекомуникације и остале инфраструктуре</c:v>
                </c:pt>
                <c:pt idx="6">
                  <c:v>Здравство</c:v>
                </c:pt>
                <c:pt idx="7">
                  <c:v>Очување животне средине</c:v>
                </c:pt>
                <c:pt idx="8">
                  <c:v>Политички и друштвени системи, структуре и процеси</c:v>
                </c:pt>
                <c:pt idx="9">
                  <c:v>Одбрана</c:v>
                </c:pt>
                <c:pt idx="10">
                  <c:v>Пољопривреда</c:v>
                </c:pt>
                <c:pt idx="11">
                  <c:v>Опште унапређење знања финансирано из других извора </c:v>
                </c:pt>
                <c:pt idx="12">
                  <c:v>Индустријска прооизводња и технологија</c:v>
                </c:pt>
                <c:pt idx="13">
                  <c:v>Опште унапређење знања финасирано из ГУФа</c:v>
                </c:pt>
              </c:strCache>
            </c:strRef>
          </c:cat>
          <c:val>
            <c:numRef>
              <c:f>Граф.2!$B$1:$B$14</c:f>
              <c:numCache>
                <c:formatCode>0.0</c:formatCode>
                <c:ptCount val="14"/>
                <c:pt idx="0">
                  <c:v>8.416229216667849E-2</c:v>
                </c:pt>
                <c:pt idx="1">
                  <c:v>0.54355145746542954</c:v>
                </c:pt>
                <c:pt idx="2">
                  <c:v>0.76505601736480988</c:v>
                </c:pt>
                <c:pt idx="3">
                  <c:v>1.0680500775753314</c:v>
                </c:pt>
                <c:pt idx="4">
                  <c:v>1.1206783300519092</c:v>
                </c:pt>
                <c:pt idx="5">
                  <c:v>2.1684679097314818</c:v>
                </c:pt>
                <c:pt idx="6">
                  <c:v>2.2192386944735918</c:v>
                </c:pt>
                <c:pt idx="7">
                  <c:v>2.2376723759176302</c:v>
                </c:pt>
                <c:pt idx="8">
                  <c:v>2.4423800328716614</c:v>
                </c:pt>
                <c:pt idx="9">
                  <c:v>2.7375089739293061</c:v>
                </c:pt>
                <c:pt idx="10">
                  <c:v>8.7255435713807987</c:v>
                </c:pt>
                <c:pt idx="11">
                  <c:v>15.284764822822405</c:v>
                </c:pt>
                <c:pt idx="12">
                  <c:v>15.318481233844091</c:v>
                </c:pt>
                <c:pt idx="13">
                  <c:v>45.284444210404871</c:v>
                </c:pt>
              </c:numCache>
            </c:numRef>
          </c:val>
          <c:extLst xmlns:c16r2="http://schemas.microsoft.com/office/drawing/2015/06/chart">
            <c:ext xmlns:c16="http://schemas.microsoft.com/office/drawing/2014/chart" uri="{C3380CC4-5D6E-409C-BE32-E72D297353CC}">
              <c16:uniqueId val="{00000000-3F54-4DF3-8EDE-BA07FB670ED1}"/>
            </c:ext>
          </c:extLst>
        </c:ser>
        <c:dLbls>
          <c:showLegendKey val="0"/>
          <c:showVal val="0"/>
          <c:showCatName val="0"/>
          <c:showSerName val="0"/>
          <c:showPercent val="0"/>
          <c:showBubbleSize val="0"/>
        </c:dLbls>
        <c:gapWidth val="32"/>
        <c:overlap val="45"/>
        <c:axId val="167119872"/>
        <c:axId val="167158528"/>
      </c:barChart>
      <c:catAx>
        <c:axId val="167119872"/>
        <c:scaling>
          <c:orientation val="minMax"/>
        </c:scaling>
        <c:delete val="0"/>
        <c:axPos val="l"/>
        <c:numFmt formatCode="General" sourceLinked="1"/>
        <c:majorTickMark val="none"/>
        <c:minorTickMark val="none"/>
        <c:tickLblPos val="nextTo"/>
        <c:spPr>
          <a:noFill/>
          <a:ln w="317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7158528"/>
        <c:crosses val="autoZero"/>
        <c:auto val="1"/>
        <c:lblAlgn val="ctr"/>
        <c:lblOffset val="100"/>
        <c:noMultiLvlLbl val="0"/>
      </c:catAx>
      <c:valAx>
        <c:axId val="1671585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w="3175">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11987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Sheet2!$A$1:$A$14</c:f>
              <c:strCache>
                <c:ptCount val="14"/>
                <c:pt idx="0">
                  <c:v>Истраживање и експлоатација свемира</c:v>
                </c:pt>
                <c:pt idx="1">
                  <c:v>Образовање</c:v>
                </c:pt>
                <c:pt idx="2">
                  <c:v>Истраживање и експлоатација Земље</c:v>
                </c:pt>
                <c:pt idx="3">
                  <c:v>Енергија</c:v>
                </c:pt>
                <c:pt idx="4">
                  <c:v>Култура, рекреација, религија и масовни медији</c:v>
                </c:pt>
                <c:pt idx="5">
                  <c:v>Транспорт, телекомуникације и остале инфраструктуре</c:v>
                </c:pt>
                <c:pt idx="6">
                  <c:v>Здравство</c:v>
                </c:pt>
                <c:pt idx="7">
                  <c:v>Политички и друштвени системи, структуре и процеси</c:v>
                </c:pt>
                <c:pt idx="8">
                  <c:v>Очување животне средине</c:v>
                </c:pt>
                <c:pt idx="9">
                  <c:v>Одбрана</c:v>
                </c:pt>
                <c:pt idx="10">
                  <c:v>Пољопривреда</c:v>
                </c:pt>
                <c:pt idx="11">
                  <c:v>Опште унапређење знања финансирано из других извора </c:v>
                </c:pt>
                <c:pt idx="12">
                  <c:v>Индустријска прооизводња и технологија</c:v>
                </c:pt>
                <c:pt idx="13">
                  <c:v>Опште унапређење знања финасирано из ГУФ-а</c:v>
                </c:pt>
              </c:strCache>
            </c:strRef>
          </c:cat>
          <c:val>
            <c:numRef>
              <c:f>Sheet2!$B$1:$B$14</c:f>
              <c:numCache>
                <c:formatCode>0.0</c:formatCode>
                <c:ptCount val="14"/>
                <c:pt idx="0">
                  <c:v>8.0922753298535224E-2</c:v>
                </c:pt>
                <c:pt idx="1">
                  <c:v>0.51916307860457678</c:v>
                </c:pt>
                <c:pt idx="2">
                  <c:v>0.7307407311117109</c:v>
                </c:pt>
                <c:pt idx="3">
                  <c:v>1.0382069669253666</c:v>
                </c:pt>
                <c:pt idx="4">
                  <c:v>1.1478545786165331</c:v>
                </c:pt>
                <c:pt idx="5">
                  <c:v>2.1125658368018327</c:v>
                </c:pt>
                <c:pt idx="6">
                  <c:v>2.1775841366075599</c:v>
                </c:pt>
                <c:pt idx="7">
                  <c:v>2.3571145015615045</c:v>
                </c:pt>
                <c:pt idx="8">
                  <c:v>2.6994215472046044</c:v>
                </c:pt>
                <c:pt idx="9">
                  <c:v>5.4621927302419193</c:v>
                </c:pt>
                <c:pt idx="10">
                  <c:v>9.0050866688423845</c:v>
                </c:pt>
                <c:pt idx="11">
                  <c:v>14.599319885341927</c:v>
                </c:pt>
                <c:pt idx="12">
                  <c:v>14.669962476663844</c:v>
                </c:pt>
                <c:pt idx="13">
                  <c:v>43.399864108177702</c:v>
                </c:pt>
              </c:numCache>
            </c:numRef>
          </c:val>
          <c:extLst xmlns:c16r2="http://schemas.microsoft.com/office/drawing/2015/06/chart">
            <c:ext xmlns:c16="http://schemas.microsoft.com/office/drawing/2014/chart" uri="{C3380CC4-5D6E-409C-BE32-E72D297353CC}">
              <c16:uniqueId val="{00000000-8493-434E-B361-848BB246AFA7}"/>
            </c:ext>
          </c:extLst>
        </c:ser>
        <c:dLbls>
          <c:showLegendKey val="0"/>
          <c:showVal val="0"/>
          <c:showCatName val="0"/>
          <c:showSerName val="0"/>
          <c:showPercent val="0"/>
          <c:showBubbleSize val="0"/>
        </c:dLbls>
        <c:gapWidth val="63"/>
        <c:axId val="167138048"/>
        <c:axId val="167139584"/>
      </c:barChart>
      <c:catAx>
        <c:axId val="167138048"/>
        <c:scaling>
          <c:orientation val="minMax"/>
        </c:scaling>
        <c:delete val="0"/>
        <c:axPos val="l"/>
        <c:numFmt formatCode="General" sourceLinked="1"/>
        <c:majorTickMark val="none"/>
        <c:minorTickMark val="none"/>
        <c:tickLblPos val="nextTo"/>
        <c:spPr>
          <a:noFill/>
          <a:ln w="317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7139584"/>
        <c:crosses val="autoZero"/>
        <c:auto val="1"/>
        <c:lblAlgn val="ctr"/>
        <c:lblOffset val="100"/>
        <c:noMultiLvlLbl val="0"/>
      </c:catAx>
      <c:valAx>
        <c:axId val="1671395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w="3175">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1380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85BB-5016-421B-BDFA-F30362ED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 Cukavac</dc:creator>
  <cp:lastModifiedBy>Jasmina Krstic</cp:lastModifiedBy>
  <cp:revision>66</cp:revision>
  <cp:lastPrinted>2017-06-29T06:08:00Z</cp:lastPrinted>
  <dcterms:created xsi:type="dcterms:W3CDTF">2015-05-04T08:06:00Z</dcterms:created>
  <dcterms:modified xsi:type="dcterms:W3CDTF">2018-08-31T12:28:00Z</dcterms:modified>
</cp:coreProperties>
</file>