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0"/>
        <w:gridCol w:w="5230"/>
        <w:gridCol w:w="3329"/>
      </w:tblGrid>
      <w:tr w:rsidR="00EF554A" w:rsidRPr="0049041F">
        <w:trPr>
          <w:cantSplit/>
          <w:trHeight w:val="631"/>
          <w:jc w:val="center"/>
        </w:trPr>
        <w:tc>
          <w:tcPr>
            <w:tcW w:w="812" w:type="pct"/>
            <w:tcBorders>
              <w:top w:val="single" w:sz="12" w:space="0" w:color="808080"/>
              <w:left w:val="nil"/>
              <w:bottom w:val="nil"/>
            </w:tcBorders>
            <w:vAlign w:val="center"/>
          </w:tcPr>
          <w:p w:rsidR="00EF554A" w:rsidRPr="0049041F" w:rsidRDefault="00EF554A" w:rsidP="00C149A4">
            <w:pPr>
              <w:rPr>
                <w:color w:val="808080"/>
              </w:rPr>
            </w:pPr>
            <w:r w:rsidRPr="0049041F">
              <w:rPr>
                <w:color w:val="808080"/>
                <w:sz w:val="8"/>
                <w:szCs w:val="8"/>
              </w:rPr>
              <w:t xml:space="preserve">                    </w:t>
            </w:r>
            <w:r w:rsidR="009A716E" w:rsidRPr="0049041F">
              <w:rPr>
                <w:noProof/>
                <w:lang w:val="en-US"/>
              </w:rPr>
              <w:drawing>
                <wp:anchor distT="0" distB="0" distL="114300" distR="114300" simplePos="0" relativeHeight="251657216" behindDoc="0" locked="0" layoutInCell="1" allowOverlap="1" wp14:anchorId="5F81A78C" wp14:editId="0C057DC1">
                  <wp:simplePos x="0" y="0"/>
                  <wp:positionH relativeFrom="character">
                    <wp:posOffset>0</wp:posOffset>
                  </wp:positionH>
                  <wp:positionV relativeFrom="line">
                    <wp:posOffset>0</wp:posOffset>
                  </wp:positionV>
                  <wp:extent cx="904875" cy="219075"/>
                  <wp:effectExtent l="0" t="0" r="0" b="0"/>
                  <wp:wrapNone/>
                  <wp:docPr id="4"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16E" w:rsidRPr="0049041F">
              <w:rPr>
                <w:noProof/>
                <w:color w:val="808080"/>
                <w:lang w:val="en-US"/>
              </w:rPr>
              <w:drawing>
                <wp:inline distT="0" distB="0" distL="0" distR="0" wp14:anchorId="49B60B10" wp14:editId="67D33642">
                  <wp:extent cx="86677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9939" b="99939"/>
                          <a:stretch>
                            <a:fillRect/>
                          </a:stretch>
                        </pic:blipFill>
                        <pic:spPr bwMode="auto">
                          <a:xfrm>
                            <a:off x="0" y="0"/>
                            <a:ext cx="866775" cy="209550"/>
                          </a:xfrm>
                          <a:prstGeom prst="rect">
                            <a:avLst/>
                          </a:prstGeom>
                          <a:noFill/>
                          <a:ln>
                            <a:noFill/>
                          </a:ln>
                        </pic:spPr>
                      </pic:pic>
                    </a:graphicData>
                  </a:graphic>
                </wp:inline>
              </w:drawing>
            </w:r>
          </w:p>
        </w:tc>
        <w:tc>
          <w:tcPr>
            <w:tcW w:w="2559" w:type="pct"/>
            <w:tcBorders>
              <w:top w:val="single" w:sz="12" w:space="0" w:color="808080"/>
              <w:left w:val="nil"/>
              <w:bottom w:val="nil"/>
            </w:tcBorders>
            <w:vAlign w:val="center"/>
          </w:tcPr>
          <w:p w:rsidR="00EF554A" w:rsidRPr="0049041F" w:rsidRDefault="00E46D77" w:rsidP="002338F2">
            <w:r w:rsidRPr="0049041F">
              <w:t>Republic of Serbia</w:t>
            </w:r>
          </w:p>
          <w:p w:rsidR="00EF554A" w:rsidRPr="0049041F" w:rsidRDefault="00E46D77" w:rsidP="00E46D77">
            <w:r w:rsidRPr="0049041F">
              <w:t>Statistical Office of the Republic of Serbia</w:t>
            </w:r>
          </w:p>
        </w:tc>
        <w:tc>
          <w:tcPr>
            <w:tcW w:w="0" w:type="auto"/>
            <w:tcBorders>
              <w:top w:val="single" w:sz="12" w:space="0" w:color="808080"/>
              <w:bottom w:val="nil"/>
              <w:right w:val="nil"/>
            </w:tcBorders>
            <w:vAlign w:val="center"/>
          </w:tcPr>
          <w:p w:rsidR="00EF554A" w:rsidRPr="0049041F" w:rsidRDefault="00EF554A" w:rsidP="006E7AF4">
            <w:pPr>
              <w:jc w:val="right"/>
              <w:rPr>
                <w:b/>
                <w:bCs/>
                <w:color w:val="FF0000"/>
              </w:rPr>
            </w:pPr>
            <w:r w:rsidRPr="0049041F">
              <w:t>ISSN 0353-9555</w:t>
            </w:r>
          </w:p>
        </w:tc>
      </w:tr>
      <w:tr w:rsidR="00EF554A" w:rsidRPr="0049041F">
        <w:trPr>
          <w:cantSplit/>
          <w:trHeight w:val="695"/>
          <w:jc w:val="center"/>
        </w:trPr>
        <w:tc>
          <w:tcPr>
            <w:tcW w:w="0" w:type="auto"/>
            <w:gridSpan w:val="2"/>
            <w:tcBorders>
              <w:top w:val="nil"/>
              <w:left w:val="nil"/>
              <w:right w:val="nil"/>
            </w:tcBorders>
            <w:vAlign w:val="center"/>
          </w:tcPr>
          <w:p w:rsidR="00EF554A" w:rsidRPr="0049041F" w:rsidRDefault="00350FC0" w:rsidP="002338F2">
            <w:pPr>
              <w:rPr>
                <w:color w:val="808080"/>
              </w:rPr>
            </w:pPr>
            <w:r w:rsidRPr="00BA58C3">
              <w:rPr>
                <w:b/>
                <w:color w:val="808080"/>
                <w:sz w:val="48"/>
                <w:szCs w:val="48"/>
              </w:rPr>
              <w:t>STATISTICAL RELEASE</w:t>
            </w:r>
          </w:p>
        </w:tc>
        <w:tc>
          <w:tcPr>
            <w:tcW w:w="0" w:type="auto"/>
            <w:tcBorders>
              <w:top w:val="nil"/>
              <w:left w:val="nil"/>
              <w:right w:val="nil"/>
            </w:tcBorders>
            <w:vAlign w:val="center"/>
          </w:tcPr>
          <w:p w:rsidR="00EF554A" w:rsidRPr="0049041F" w:rsidRDefault="00E46D77" w:rsidP="00C71557">
            <w:pPr>
              <w:jc w:val="right"/>
              <w:rPr>
                <w:b/>
                <w:bCs/>
                <w:color w:val="808080"/>
                <w:sz w:val="12"/>
                <w:szCs w:val="12"/>
              </w:rPr>
            </w:pPr>
            <w:r w:rsidRPr="0049041F">
              <w:rPr>
                <w:b/>
                <w:bCs/>
                <w:noProof/>
                <w:color w:val="808080"/>
                <w:sz w:val="48"/>
                <w:szCs w:val="48"/>
              </w:rPr>
              <w:t>NR</w:t>
            </w:r>
            <w:r w:rsidR="00C71557" w:rsidRPr="0049041F">
              <w:rPr>
                <w:b/>
                <w:bCs/>
                <w:noProof/>
                <w:color w:val="808080"/>
                <w:sz w:val="48"/>
                <w:szCs w:val="48"/>
              </w:rPr>
              <w:t>7</w:t>
            </w:r>
            <w:r w:rsidR="005208E4" w:rsidRPr="0049041F">
              <w:rPr>
                <w:b/>
                <w:bCs/>
                <w:noProof/>
                <w:color w:val="808080"/>
                <w:sz w:val="48"/>
                <w:szCs w:val="48"/>
              </w:rPr>
              <w:t>0</w:t>
            </w:r>
          </w:p>
        </w:tc>
      </w:tr>
      <w:tr w:rsidR="00EF554A" w:rsidRPr="0049041F">
        <w:trPr>
          <w:cantSplit/>
          <w:trHeight w:hRule="exact" w:val="279"/>
          <w:jc w:val="center"/>
        </w:trPr>
        <w:tc>
          <w:tcPr>
            <w:tcW w:w="0" w:type="auto"/>
            <w:gridSpan w:val="2"/>
            <w:tcBorders>
              <w:top w:val="nil"/>
              <w:left w:val="nil"/>
              <w:bottom w:val="nil"/>
              <w:right w:val="nil"/>
            </w:tcBorders>
            <w:vAlign w:val="center"/>
          </w:tcPr>
          <w:p w:rsidR="00EF554A" w:rsidRPr="0049041F" w:rsidRDefault="00E46D77" w:rsidP="00702633">
            <w:r w:rsidRPr="0049041F">
              <w:t>Number</w:t>
            </w:r>
            <w:r w:rsidR="00EF554A" w:rsidRPr="0049041F">
              <w:t xml:space="preserve"> </w:t>
            </w:r>
            <w:r w:rsidR="00702633">
              <w:t>252</w:t>
            </w:r>
            <w:r w:rsidR="00725E63" w:rsidRPr="0049041F">
              <w:rPr>
                <w:color w:val="FF0000"/>
              </w:rPr>
              <w:t xml:space="preserve"> </w:t>
            </w:r>
            <w:r w:rsidR="00EF554A" w:rsidRPr="0049041F">
              <w:t xml:space="preserve">- </w:t>
            </w:r>
            <w:r w:rsidRPr="0049041F">
              <w:t>Year</w:t>
            </w:r>
            <w:r w:rsidR="00EF554A" w:rsidRPr="0049041F">
              <w:t xml:space="preserve"> LX</w:t>
            </w:r>
            <w:r w:rsidR="0087146C" w:rsidRPr="0049041F">
              <w:t>V</w:t>
            </w:r>
            <w:r w:rsidR="008E54FC" w:rsidRPr="0049041F">
              <w:t>I</w:t>
            </w:r>
            <w:r w:rsidR="00EF554A" w:rsidRPr="0049041F">
              <w:t xml:space="preserve">, </w:t>
            </w:r>
            <w:r w:rsidR="00FA5683" w:rsidRPr="0049041F">
              <w:t>20</w:t>
            </w:r>
            <w:r w:rsidR="00EF554A" w:rsidRPr="0049041F">
              <w:t>.</w:t>
            </w:r>
            <w:r w:rsidR="00C71557" w:rsidRPr="0049041F">
              <w:t>09</w:t>
            </w:r>
            <w:r w:rsidR="00EF554A" w:rsidRPr="0049041F">
              <w:t>.201</w:t>
            </w:r>
            <w:r w:rsidR="00C71557" w:rsidRPr="0049041F">
              <w:t>6</w:t>
            </w:r>
          </w:p>
        </w:tc>
        <w:tc>
          <w:tcPr>
            <w:tcW w:w="0" w:type="auto"/>
            <w:tcBorders>
              <w:left w:val="nil"/>
              <w:bottom w:val="nil"/>
              <w:right w:val="nil"/>
            </w:tcBorders>
            <w:vAlign w:val="center"/>
          </w:tcPr>
          <w:p w:rsidR="00EF554A" w:rsidRPr="0049041F" w:rsidRDefault="00EF554A" w:rsidP="002338F2">
            <w:pPr>
              <w:jc w:val="right"/>
              <w:rPr>
                <w:b/>
                <w:bCs/>
                <w:color w:val="808080"/>
                <w:sz w:val="48"/>
                <w:szCs w:val="48"/>
              </w:rPr>
            </w:pPr>
          </w:p>
        </w:tc>
      </w:tr>
      <w:tr w:rsidR="00EF554A" w:rsidRPr="0049041F">
        <w:trPr>
          <w:cantSplit/>
          <w:trHeight w:val="353"/>
          <w:jc w:val="center"/>
        </w:trPr>
        <w:tc>
          <w:tcPr>
            <w:tcW w:w="0" w:type="auto"/>
            <w:gridSpan w:val="2"/>
            <w:tcBorders>
              <w:top w:val="nil"/>
              <w:left w:val="nil"/>
              <w:bottom w:val="single" w:sz="12" w:space="0" w:color="808080"/>
              <w:right w:val="nil"/>
            </w:tcBorders>
            <w:vAlign w:val="center"/>
          </w:tcPr>
          <w:p w:rsidR="00EF554A" w:rsidRPr="0049041F" w:rsidRDefault="00E46D77" w:rsidP="00350FC0">
            <w:pPr>
              <w:rPr>
                <w:b/>
                <w:bCs/>
                <w:sz w:val="24"/>
                <w:szCs w:val="24"/>
              </w:rPr>
            </w:pPr>
            <w:r w:rsidRPr="0049041F">
              <w:rPr>
                <w:b/>
                <w:bCs/>
                <w:noProof/>
                <w:sz w:val="24"/>
                <w:szCs w:val="24"/>
              </w:rPr>
              <w:t xml:space="preserve">Satellite Accounts Unit </w:t>
            </w:r>
          </w:p>
        </w:tc>
        <w:tc>
          <w:tcPr>
            <w:tcW w:w="0" w:type="auto"/>
            <w:tcBorders>
              <w:top w:val="nil"/>
              <w:left w:val="nil"/>
              <w:bottom w:val="single" w:sz="12" w:space="0" w:color="808080"/>
              <w:right w:val="nil"/>
            </w:tcBorders>
            <w:vAlign w:val="center"/>
          </w:tcPr>
          <w:p w:rsidR="00EF554A" w:rsidRPr="0049041F" w:rsidRDefault="00E46D77" w:rsidP="00702633">
            <w:pPr>
              <w:jc w:val="right"/>
              <w:rPr>
                <w:b/>
                <w:bCs/>
              </w:rPr>
            </w:pPr>
            <w:r w:rsidRPr="0049041F">
              <w:t>SERB</w:t>
            </w:r>
            <w:r w:rsidR="00702633">
              <w:t>252</w:t>
            </w:r>
            <w:r w:rsidR="001C53BD" w:rsidRPr="0049041F">
              <w:t xml:space="preserve"> </w:t>
            </w:r>
            <w:r w:rsidRPr="0049041F">
              <w:t>NR</w:t>
            </w:r>
            <w:r w:rsidR="00C71557" w:rsidRPr="0049041F">
              <w:t>7</w:t>
            </w:r>
            <w:r w:rsidR="007513E5" w:rsidRPr="0049041F">
              <w:t>0</w:t>
            </w:r>
            <w:r w:rsidR="00EF554A" w:rsidRPr="0049041F">
              <w:t xml:space="preserve"> </w:t>
            </w:r>
            <w:r w:rsidR="00FA5683" w:rsidRPr="0049041F">
              <w:t>20</w:t>
            </w:r>
            <w:r w:rsidR="00C71557" w:rsidRPr="0049041F">
              <w:t>09</w:t>
            </w:r>
            <w:r w:rsidR="00EF554A" w:rsidRPr="0049041F">
              <w:t>1</w:t>
            </w:r>
            <w:r w:rsidR="00C71557" w:rsidRPr="0049041F">
              <w:t>6</w:t>
            </w:r>
          </w:p>
        </w:tc>
      </w:tr>
    </w:tbl>
    <w:p w:rsidR="0031163C" w:rsidRPr="0049041F" w:rsidRDefault="00E46D77" w:rsidP="00E46D77">
      <w:pPr>
        <w:spacing w:before="1080" w:after="120"/>
        <w:jc w:val="center"/>
        <w:outlineLvl w:val="0"/>
        <w:rPr>
          <w:b/>
          <w:color w:val="202F38"/>
          <w:sz w:val="24"/>
          <w:szCs w:val="24"/>
          <w:shd w:val="clear" w:color="auto" w:fill="FFFFFF"/>
        </w:rPr>
      </w:pPr>
      <w:r w:rsidRPr="0049041F">
        <w:rPr>
          <w:b/>
          <w:color w:val="202F38"/>
          <w:sz w:val="24"/>
          <w:szCs w:val="24"/>
          <w:shd w:val="clear" w:color="auto" w:fill="FFFFFF"/>
        </w:rPr>
        <w:t>Air Emissions Account in the Republic of Serbia, 2013 and 2014</w:t>
      </w:r>
    </w:p>
    <w:p w:rsidR="008740AE" w:rsidRDefault="008740AE" w:rsidP="00C71557">
      <w:pPr>
        <w:spacing w:before="120" w:after="120"/>
        <w:ind w:firstLine="450"/>
        <w:jc w:val="both"/>
      </w:pPr>
    </w:p>
    <w:p w:rsidR="003854DA" w:rsidRPr="0049041F" w:rsidRDefault="00B32073" w:rsidP="00047A0B">
      <w:pPr>
        <w:spacing w:before="120" w:after="120" w:line="264" w:lineRule="auto"/>
        <w:ind w:firstLine="448"/>
        <w:jc w:val="both"/>
        <w:rPr>
          <w:color w:val="FF0000"/>
        </w:rPr>
      </w:pPr>
      <w:r w:rsidRPr="00B32073">
        <w:t xml:space="preserve">Air Emissions Account </w:t>
      </w:r>
      <w:r w:rsidR="00E46D77" w:rsidRPr="0049041F">
        <w:t xml:space="preserve">shows the data on flow of gaseous substances, emitted </w:t>
      </w:r>
      <w:r w:rsidR="0005027C" w:rsidRPr="0049041F">
        <w:t xml:space="preserve">by national economy. </w:t>
      </w:r>
      <w:r w:rsidR="008A3BAB" w:rsidRPr="0049041F">
        <w:t>E</w:t>
      </w:r>
      <w:r w:rsidR="0005027C" w:rsidRPr="0049041F">
        <w:t xml:space="preserve">missions are </w:t>
      </w:r>
      <w:r w:rsidR="008A3BAB" w:rsidRPr="0049041F">
        <w:t>carried</w:t>
      </w:r>
      <w:r w:rsidR="0005027C" w:rsidRPr="0049041F">
        <w:t xml:space="preserve"> into </w:t>
      </w:r>
      <w:r w:rsidR="008A3BAB" w:rsidRPr="0049041F">
        <w:t xml:space="preserve">the </w:t>
      </w:r>
      <w:r w:rsidR="0005027C" w:rsidRPr="0049041F">
        <w:t xml:space="preserve">atmosphere that is a part of the environment protection system.  </w:t>
      </w:r>
      <w:r w:rsidR="00E46D77" w:rsidRPr="0049041F">
        <w:t xml:space="preserve"> </w:t>
      </w:r>
    </w:p>
    <w:p w:rsidR="007A4DA9" w:rsidRPr="0049041F" w:rsidRDefault="0005027C" w:rsidP="00047A0B">
      <w:pPr>
        <w:spacing w:before="120" w:after="120" w:line="264" w:lineRule="auto"/>
        <w:ind w:firstLine="448"/>
        <w:jc w:val="both"/>
        <w:rPr>
          <w:color w:val="FF0000"/>
        </w:rPr>
      </w:pPr>
      <w:r w:rsidRPr="0049041F">
        <w:t xml:space="preserve">The point of </w:t>
      </w:r>
      <w:r w:rsidR="008A3BAB" w:rsidRPr="0049041F">
        <w:t>establishing the</w:t>
      </w:r>
      <w:r w:rsidRPr="0049041F">
        <w:t xml:space="preserve"> air emission account is record</w:t>
      </w:r>
      <w:r w:rsidR="008A3BAB" w:rsidRPr="0049041F">
        <w:t>ing</w:t>
      </w:r>
      <w:r w:rsidRPr="0049041F">
        <w:t xml:space="preserve"> </w:t>
      </w:r>
      <w:r w:rsidR="008A3BAB" w:rsidRPr="0049041F">
        <w:t xml:space="preserve">the </w:t>
      </w:r>
      <w:r w:rsidRPr="0049041F">
        <w:t>data on emission</w:t>
      </w:r>
      <w:r w:rsidR="00432C00" w:rsidRPr="0049041F">
        <w:t>s</w:t>
      </w:r>
      <w:r w:rsidRPr="0049041F">
        <w:t xml:space="preserve"> up to the level of section</w:t>
      </w:r>
      <w:r w:rsidR="00432C00" w:rsidRPr="0049041F">
        <w:t>s</w:t>
      </w:r>
      <w:r w:rsidRPr="0049041F">
        <w:t xml:space="preserve"> of the Classification of Activities, as well as emissions of </w:t>
      </w:r>
      <w:bookmarkStart w:id="0" w:name="_GoBack"/>
      <w:bookmarkEnd w:id="0"/>
      <w:r w:rsidRPr="0049041F">
        <w:t>section of households.</w:t>
      </w:r>
    </w:p>
    <w:p w:rsidR="00443CB3" w:rsidRPr="0049041F" w:rsidRDefault="0005027C" w:rsidP="00047A0B">
      <w:pPr>
        <w:spacing w:before="120" w:after="120" w:line="264" w:lineRule="auto"/>
        <w:ind w:firstLine="448"/>
        <w:jc w:val="both"/>
        <w:rPr>
          <w:color w:val="FF0000"/>
        </w:rPr>
      </w:pPr>
      <w:r w:rsidRPr="0049041F">
        <w:t xml:space="preserve">Data of the emission account are provided for emission of </w:t>
      </w:r>
      <w:r w:rsidR="008A3BAB" w:rsidRPr="0049041F">
        <w:t xml:space="preserve">air </w:t>
      </w:r>
      <w:r w:rsidRPr="0049041F">
        <w:t xml:space="preserve">pollutants, for 2014, including also greenhouse gases emission, for 2013. Data source are </w:t>
      </w:r>
      <w:r w:rsidRPr="00B04842">
        <w:t>c</w:t>
      </w:r>
      <w:r w:rsidR="00B04842" w:rsidRPr="00B04842">
        <w:t>alculation</w:t>
      </w:r>
      <w:r w:rsidRPr="00B04842">
        <w:t>s</w:t>
      </w:r>
      <w:r w:rsidRPr="0049041F">
        <w:t xml:space="preserve"> of the Environmental Protection Agency, as well as the data of the Statistical Office of the Republic of Serbia and the competent ministries.   </w:t>
      </w:r>
    </w:p>
    <w:p w:rsidR="00432C00" w:rsidRPr="0049041F" w:rsidRDefault="0005027C" w:rsidP="00047A0B">
      <w:pPr>
        <w:spacing w:before="120" w:after="120" w:line="264" w:lineRule="auto"/>
        <w:ind w:firstLine="448"/>
        <w:jc w:val="both"/>
      </w:pPr>
      <w:r w:rsidRPr="0049041F">
        <w:t xml:space="preserve">Regarding the </w:t>
      </w:r>
      <w:r w:rsidR="008A3BAB" w:rsidRPr="0049041F">
        <w:t xml:space="preserve">pollutants </w:t>
      </w:r>
      <w:r w:rsidRPr="0049041F">
        <w:t>emission</w:t>
      </w:r>
      <w:r w:rsidR="008A3BAB" w:rsidRPr="0049041F">
        <w:t xml:space="preserve"> </w:t>
      </w:r>
      <w:r w:rsidRPr="0049041F">
        <w:t>in 2014, on the level of national economy, the greatest was the emission of sulph</w:t>
      </w:r>
      <w:r w:rsidR="00A41200" w:rsidRPr="0049041F">
        <w:t>u</w:t>
      </w:r>
      <w:r w:rsidRPr="0049041F">
        <w:t>r oxide</w:t>
      </w:r>
      <w:r w:rsidR="00A41200" w:rsidRPr="0049041F">
        <w:t>s</w:t>
      </w:r>
      <w:r w:rsidRPr="0049041F">
        <w:t xml:space="preserve"> (SO</w:t>
      </w:r>
      <w:r w:rsidRPr="0049041F">
        <w:rPr>
          <w:vertAlign w:val="subscript"/>
        </w:rPr>
        <w:t>x</w:t>
      </w:r>
      <w:r w:rsidRPr="0049041F">
        <w:t xml:space="preserve">), amounting to 327.2 thousand tons, followed by emission of carbon monoxide (CO), with 236.4 thousand tons, the emission of non-methane </w:t>
      </w:r>
      <w:r w:rsidR="00A41200" w:rsidRPr="0049041F">
        <w:t>volatile</w:t>
      </w:r>
      <w:r w:rsidR="00071391" w:rsidRPr="0049041F">
        <w:t xml:space="preserve"> organic compounds (NMVOC), with 117.6 thousand tons, emission of nitr</w:t>
      </w:r>
      <w:r w:rsidR="00A41200" w:rsidRPr="0049041F">
        <w:t>ogen oxides</w:t>
      </w:r>
      <w:r w:rsidR="00071391" w:rsidRPr="0049041F">
        <w:t xml:space="preserve"> (NO</w:t>
      </w:r>
      <w:r w:rsidR="00071391" w:rsidRPr="0049041F">
        <w:rPr>
          <w:vertAlign w:val="subscript"/>
        </w:rPr>
        <w:t>x</w:t>
      </w:r>
      <w:r w:rsidR="00071391" w:rsidRPr="0049041F">
        <w:t>), with 113.5 thousand tons and emission of ammoniac (NH</w:t>
      </w:r>
      <w:r w:rsidR="00071391" w:rsidRPr="0049041F">
        <w:rPr>
          <w:vertAlign w:val="subscript"/>
        </w:rPr>
        <w:t>3</w:t>
      </w:r>
      <w:r w:rsidR="00071391" w:rsidRPr="0049041F">
        <w:t xml:space="preserve">), which amounted to 85.9 thousand tons. </w:t>
      </w:r>
      <w:r w:rsidRPr="0049041F">
        <w:t xml:space="preserve"> </w:t>
      </w:r>
    </w:p>
    <w:p w:rsidR="00CD60E5" w:rsidRPr="0049041F" w:rsidRDefault="000D087B" w:rsidP="00047A0B">
      <w:pPr>
        <w:spacing w:before="120" w:after="120" w:line="264" w:lineRule="auto"/>
        <w:ind w:firstLine="448"/>
        <w:jc w:val="both"/>
        <w:rPr>
          <w:color w:val="FF0000"/>
        </w:rPr>
      </w:pPr>
      <w:r w:rsidRPr="0049041F">
        <w:rPr>
          <w:color w:val="FF0000"/>
        </w:rPr>
        <w:t xml:space="preserve"> </w:t>
      </w:r>
      <w:r w:rsidR="00071391" w:rsidRPr="0049041F">
        <w:t xml:space="preserve">Referring to greenhouse gases emission in 2013, on the level of national economy, the greatest was the emission of carbon dioxide (CO2), with 48699.6 thousand tons, then of carbon dioxide from biomass </w:t>
      </w:r>
      <w:r w:rsidR="004407EC">
        <w:t xml:space="preserve">                         </w:t>
      </w:r>
      <w:r w:rsidR="00071391" w:rsidRPr="0049041F">
        <w:t xml:space="preserve">(4656.6 thousand tons), </w:t>
      </w:r>
      <w:r w:rsidR="0049041F" w:rsidRPr="0049041F">
        <w:t>hydro fluorocarbons</w:t>
      </w:r>
      <w:r w:rsidR="00071391" w:rsidRPr="0049041F">
        <w:t xml:space="preserve"> (</w:t>
      </w:r>
      <w:r w:rsidR="00A41200" w:rsidRPr="0049041F">
        <w:t>H</w:t>
      </w:r>
      <w:r w:rsidR="00071391" w:rsidRPr="0049041F">
        <w:t>FCs), with 157.7 thousand tons, emission of methane (CH</w:t>
      </w:r>
      <w:r w:rsidR="00071391" w:rsidRPr="0049041F">
        <w:rPr>
          <w:vertAlign w:val="subscript"/>
        </w:rPr>
        <w:t>4</w:t>
      </w:r>
      <w:r w:rsidR="00071391" w:rsidRPr="0049041F">
        <w:t>), with 111.8 thousand tons and emission of nitr</w:t>
      </w:r>
      <w:r w:rsidR="00A41200" w:rsidRPr="0049041F">
        <w:t>ous</w:t>
      </w:r>
      <w:r w:rsidR="00071391" w:rsidRPr="0049041F">
        <w:t xml:space="preserve"> oxide (N</w:t>
      </w:r>
      <w:r w:rsidR="00071391" w:rsidRPr="0049041F">
        <w:rPr>
          <w:vertAlign w:val="subscript"/>
        </w:rPr>
        <w:t>2</w:t>
      </w:r>
      <w:r w:rsidR="00071391" w:rsidRPr="0049041F">
        <w:t xml:space="preserve">O), which was 3 thousand tons.   </w:t>
      </w:r>
    </w:p>
    <w:p w:rsidR="00EC3833" w:rsidRPr="0049041F" w:rsidRDefault="00EC3833" w:rsidP="0037335D">
      <w:pPr>
        <w:ind w:firstLine="448"/>
        <w:jc w:val="both"/>
        <w:rPr>
          <w:noProof/>
        </w:rPr>
      </w:pPr>
    </w:p>
    <w:p w:rsidR="009953DA" w:rsidRDefault="009953DA" w:rsidP="006519DA">
      <w:pPr>
        <w:jc w:val="both"/>
        <w:rPr>
          <w:b/>
          <w:noProof/>
        </w:rPr>
      </w:pPr>
    </w:p>
    <w:p w:rsidR="00047A0B" w:rsidRPr="0049041F" w:rsidRDefault="00047A0B" w:rsidP="006519DA">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217"/>
      </w:tblGrid>
      <w:tr w:rsidR="00707AE9" w:rsidRPr="0049041F" w:rsidTr="004407EC">
        <w:tc>
          <w:tcPr>
            <w:tcW w:w="5261" w:type="dxa"/>
          </w:tcPr>
          <w:p w:rsidR="00707AE9" w:rsidRPr="0049041F" w:rsidRDefault="00403EF9" w:rsidP="00707AE9">
            <w:pPr>
              <w:jc w:val="center"/>
              <w:rPr>
                <w:b/>
                <w:noProof/>
              </w:rPr>
            </w:pPr>
            <w:r>
              <w:rPr>
                <w:noProof/>
                <w:lang w:val="en-US"/>
              </w:rPr>
              <w:drawing>
                <wp:inline distT="0" distB="0" distL="0" distR="0" wp14:anchorId="08A7EABB" wp14:editId="2CE4D02A">
                  <wp:extent cx="3204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18" w:type="dxa"/>
          </w:tcPr>
          <w:p w:rsidR="00707AE9" w:rsidRPr="0049041F" w:rsidRDefault="004407EC" w:rsidP="00707AE9">
            <w:pPr>
              <w:jc w:val="center"/>
              <w:rPr>
                <w:b/>
                <w:noProof/>
              </w:rPr>
            </w:pPr>
            <w:r>
              <w:rPr>
                <w:noProof/>
                <w:lang w:val="en-US"/>
              </w:rPr>
              <w:drawing>
                <wp:inline distT="0" distB="0" distL="0" distR="0" wp14:anchorId="2FAA86B6" wp14:editId="3BFEC437">
                  <wp:extent cx="3240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8E54FC" w:rsidRPr="0049041F" w:rsidRDefault="008E54FC" w:rsidP="00707AE9">
      <w:pPr>
        <w:jc w:val="center"/>
        <w:rPr>
          <w:b/>
          <w:noProof/>
        </w:rPr>
      </w:pPr>
    </w:p>
    <w:p w:rsidR="008E54FC" w:rsidRPr="0049041F" w:rsidRDefault="008E54FC" w:rsidP="007241C6">
      <w:pPr>
        <w:rPr>
          <w:b/>
          <w:noProof/>
        </w:rPr>
      </w:pPr>
    </w:p>
    <w:p w:rsidR="003854DA" w:rsidRPr="0049041F" w:rsidRDefault="003854DA" w:rsidP="0037335D">
      <w:pPr>
        <w:ind w:firstLine="448"/>
        <w:jc w:val="both"/>
        <w:rPr>
          <w:noProof/>
        </w:rPr>
      </w:pPr>
    </w:p>
    <w:p w:rsidR="00CD60E5" w:rsidRPr="0049041F" w:rsidRDefault="00CD60E5" w:rsidP="00E77F09">
      <w:pPr>
        <w:spacing w:line="360" w:lineRule="auto"/>
        <w:jc w:val="both"/>
        <w:rPr>
          <w:sz w:val="12"/>
          <w:szCs w:val="12"/>
        </w:rPr>
      </w:pPr>
    </w:p>
    <w:p w:rsidR="009A62C9" w:rsidRPr="0049041F" w:rsidRDefault="009A62C9" w:rsidP="00E77F09">
      <w:pPr>
        <w:spacing w:line="360" w:lineRule="auto"/>
        <w:jc w:val="both"/>
        <w:rPr>
          <w:sz w:val="12"/>
          <w:szCs w:val="12"/>
        </w:rPr>
      </w:pPr>
    </w:p>
    <w:p w:rsidR="008740AE" w:rsidRDefault="008740AE">
      <w:pPr>
        <w:rPr>
          <w:b/>
          <w:bCs/>
        </w:rPr>
      </w:pPr>
      <w:r>
        <w:rPr>
          <w:b/>
          <w:bCs/>
        </w:rPr>
        <w:br w:type="page"/>
      </w:r>
    </w:p>
    <w:p w:rsidR="00E77F09" w:rsidRPr="00702633" w:rsidRDefault="00725E63" w:rsidP="00702633">
      <w:pPr>
        <w:jc w:val="center"/>
        <w:rPr>
          <w:b/>
          <w:bCs/>
          <w:lang w:val="sr-Latn-RS"/>
        </w:rPr>
      </w:pPr>
      <w:r w:rsidRPr="00702633">
        <w:rPr>
          <w:b/>
          <w:bCs/>
        </w:rPr>
        <w:lastRenderedPageBreak/>
        <w:t xml:space="preserve">1. </w:t>
      </w:r>
      <w:r w:rsidR="0002498A" w:rsidRPr="00702633">
        <w:rPr>
          <w:b/>
          <w:bCs/>
        </w:rPr>
        <w:t>Air emission</w:t>
      </w:r>
      <w:r w:rsidR="00B04842">
        <w:rPr>
          <w:b/>
          <w:bCs/>
        </w:rPr>
        <w:t>s</w:t>
      </w:r>
      <w:r w:rsidR="0002498A" w:rsidRPr="00702633">
        <w:rPr>
          <w:b/>
          <w:bCs/>
        </w:rPr>
        <w:t xml:space="preserve"> of pollutants, Republic of Serbia, 2014</w:t>
      </w:r>
      <w:r w:rsidR="00C01377" w:rsidRPr="00702633">
        <w:rPr>
          <w:b/>
          <w:bCs/>
        </w:rPr>
        <w:t>¹</w:t>
      </w:r>
      <w:r w:rsidR="00702633" w:rsidRPr="00702633">
        <w:rPr>
          <w:b/>
          <w:bCs/>
          <w:vertAlign w:val="superscript"/>
          <w:lang w:val="sr-Latn-RS"/>
        </w:rPr>
        <w:t>)</w:t>
      </w:r>
    </w:p>
    <w:p w:rsidR="00655270" w:rsidRPr="0049041F" w:rsidRDefault="00655270" w:rsidP="00655270">
      <w:pPr>
        <w:ind w:left="450"/>
        <w:rPr>
          <w:b/>
        </w:rPr>
      </w:pPr>
    </w:p>
    <w:p w:rsidR="00655C6C" w:rsidRPr="0049041F" w:rsidRDefault="0002498A" w:rsidP="00655C6C">
      <w:pPr>
        <w:rPr>
          <w:sz w:val="16"/>
          <w:szCs w:val="16"/>
          <w:vertAlign w:val="superscript"/>
        </w:rPr>
      </w:pPr>
      <w:r w:rsidRPr="0049041F">
        <w:rPr>
          <w:b/>
          <w:sz w:val="18"/>
          <w:szCs w:val="18"/>
        </w:rPr>
        <w:t>Republic of Serbia</w:t>
      </w:r>
      <w:r w:rsidR="00655C6C" w:rsidRPr="0049041F">
        <w:rPr>
          <w:b/>
          <w:sz w:val="18"/>
          <w:szCs w:val="18"/>
        </w:rPr>
        <w:t xml:space="preserve"> </w:t>
      </w:r>
      <w:r w:rsidR="00833DCA" w:rsidRPr="0049041F">
        <w:rPr>
          <w:b/>
          <w:sz w:val="18"/>
          <w:szCs w:val="18"/>
        </w:rPr>
        <w:tab/>
      </w:r>
      <w:r w:rsidR="00833DCA" w:rsidRPr="0049041F">
        <w:rPr>
          <w:b/>
          <w:sz w:val="18"/>
          <w:szCs w:val="18"/>
        </w:rPr>
        <w:tab/>
      </w:r>
      <w:r w:rsidR="00833DCA" w:rsidRPr="0049041F">
        <w:rPr>
          <w:b/>
          <w:sz w:val="18"/>
          <w:szCs w:val="18"/>
        </w:rPr>
        <w:tab/>
      </w:r>
      <w:r w:rsidR="00833DCA" w:rsidRPr="0049041F">
        <w:rPr>
          <w:b/>
          <w:sz w:val="18"/>
          <w:szCs w:val="18"/>
        </w:rPr>
        <w:tab/>
      </w:r>
      <w:r w:rsidR="00833DCA" w:rsidRPr="0049041F">
        <w:rPr>
          <w:b/>
          <w:sz w:val="18"/>
          <w:szCs w:val="18"/>
        </w:rPr>
        <w:tab/>
      </w:r>
      <w:r w:rsidR="00833DCA" w:rsidRPr="0049041F">
        <w:rPr>
          <w:b/>
          <w:sz w:val="18"/>
          <w:szCs w:val="18"/>
        </w:rPr>
        <w:tab/>
      </w:r>
      <w:r w:rsidR="00725E63" w:rsidRPr="0049041F">
        <w:rPr>
          <w:b/>
          <w:sz w:val="18"/>
          <w:szCs w:val="18"/>
        </w:rPr>
        <w:tab/>
      </w:r>
      <w:r w:rsidR="00725E63" w:rsidRPr="0049041F">
        <w:rPr>
          <w:b/>
          <w:sz w:val="18"/>
          <w:szCs w:val="18"/>
        </w:rPr>
        <w:tab/>
      </w:r>
      <w:r w:rsidR="00725E63" w:rsidRPr="0049041F">
        <w:rPr>
          <w:b/>
          <w:sz w:val="18"/>
          <w:szCs w:val="18"/>
        </w:rPr>
        <w:tab/>
      </w:r>
      <w:r w:rsidR="00725E63" w:rsidRPr="0049041F">
        <w:rPr>
          <w:b/>
          <w:sz w:val="18"/>
          <w:szCs w:val="18"/>
        </w:rPr>
        <w:tab/>
        <w:t xml:space="preserve">                                                                                                                                                   </w:t>
      </w:r>
      <w:r w:rsidRPr="0049041F">
        <w:rPr>
          <w:sz w:val="18"/>
          <w:szCs w:val="18"/>
        </w:rPr>
        <w:t>thous. ton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20"/>
        <w:gridCol w:w="1341"/>
        <w:gridCol w:w="1218"/>
        <w:gridCol w:w="1173"/>
        <w:gridCol w:w="1265"/>
        <w:gridCol w:w="1202"/>
      </w:tblGrid>
      <w:tr w:rsidR="00254717" w:rsidRPr="0049041F" w:rsidTr="00725E63">
        <w:trPr>
          <w:trHeight w:val="20"/>
          <w:jc w:val="center"/>
        </w:trPr>
        <w:tc>
          <w:tcPr>
            <w:tcW w:w="4067" w:type="dxa"/>
            <w:tcBorders>
              <w:top w:val="single" w:sz="4" w:space="0" w:color="auto"/>
              <w:left w:val="nil"/>
              <w:bottom w:val="single" w:sz="4" w:space="0" w:color="auto"/>
              <w:right w:val="single" w:sz="4" w:space="0" w:color="auto"/>
            </w:tcBorders>
            <w:shd w:val="clear" w:color="auto" w:fill="auto"/>
          </w:tcPr>
          <w:p w:rsidR="00326471" w:rsidRPr="0049041F" w:rsidRDefault="00326471" w:rsidP="00047A0B">
            <w:pPr>
              <w:spacing w:before="120" w:after="120" w:line="276" w:lineRule="auto"/>
              <w:jc w:val="center"/>
              <w:rPr>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26471" w:rsidRPr="0049041F" w:rsidRDefault="00326471" w:rsidP="00047A0B">
            <w:pPr>
              <w:spacing w:before="120" w:after="120" w:line="276" w:lineRule="auto"/>
              <w:jc w:val="center"/>
              <w:rPr>
                <w:sz w:val="16"/>
                <w:szCs w:val="16"/>
              </w:rPr>
            </w:pPr>
            <w:r w:rsidRPr="0049041F">
              <w:rPr>
                <w:sz w:val="16"/>
                <w:szCs w:val="16"/>
              </w:rPr>
              <w:t>NOᵪ</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26471" w:rsidRPr="0049041F" w:rsidRDefault="00326471" w:rsidP="00047A0B">
            <w:pPr>
              <w:spacing w:before="120" w:after="120" w:line="276" w:lineRule="auto"/>
              <w:jc w:val="center"/>
              <w:rPr>
                <w:sz w:val="16"/>
                <w:szCs w:val="16"/>
              </w:rPr>
            </w:pPr>
            <w:r w:rsidRPr="0049041F">
              <w:rPr>
                <w:sz w:val="16"/>
                <w:szCs w:val="16"/>
              </w:rPr>
              <w:t>NMVOC</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26471" w:rsidRPr="0049041F" w:rsidRDefault="00326471" w:rsidP="00047A0B">
            <w:pPr>
              <w:spacing w:before="120" w:after="120" w:line="276" w:lineRule="auto"/>
              <w:jc w:val="center"/>
              <w:rPr>
                <w:sz w:val="16"/>
                <w:szCs w:val="16"/>
              </w:rPr>
            </w:pPr>
            <w:r w:rsidRPr="0049041F">
              <w:rPr>
                <w:sz w:val="16"/>
                <w:szCs w:val="16"/>
              </w:rPr>
              <w:t>SOᵪ</w:t>
            </w:r>
          </w:p>
        </w:tc>
        <w:tc>
          <w:tcPr>
            <w:tcW w:w="1275" w:type="dxa"/>
            <w:tcBorders>
              <w:top w:val="single" w:sz="4" w:space="0" w:color="auto"/>
              <w:left w:val="single" w:sz="4" w:space="0" w:color="auto"/>
              <w:bottom w:val="single" w:sz="4" w:space="0" w:color="auto"/>
              <w:right w:val="nil"/>
            </w:tcBorders>
            <w:shd w:val="clear" w:color="auto" w:fill="auto"/>
            <w:vAlign w:val="center"/>
          </w:tcPr>
          <w:p w:rsidR="00326471" w:rsidRPr="0049041F" w:rsidRDefault="00326471" w:rsidP="00047A0B">
            <w:pPr>
              <w:spacing w:before="120" w:after="120" w:line="276" w:lineRule="auto"/>
              <w:jc w:val="center"/>
              <w:rPr>
                <w:sz w:val="16"/>
                <w:szCs w:val="16"/>
              </w:rPr>
            </w:pPr>
            <w:r w:rsidRPr="0049041F">
              <w:rPr>
                <w:sz w:val="16"/>
                <w:szCs w:val="16"/>
              </w:rPr>
              <w:t>NH</w:t>
            </w:r>
            <w:r w:rsidRPr="0049041F">
              <w:rPr>
                <w:rFonts w:ascii="Cambria Math" w:hAnsi="Cambria Math" w:cs="Cambria Math"/>
                <w:sz w:val="16"/>
                <w:szCs w:val="16"/>
              </w:rPr>
              <w:t>₃</w:t>
            </w:r>
          </w:p>
        </w:tc>
        <w:tc>
          <w:tcPr>
            <w:tcW w:w="1210" w:type="dxa"/>
            <w:tcBorders>
              <w:top w:val="single" w:sz="4" w:space="0" w:color="auto"/>
              <w:left w:val="single" w:sz="4" w:space="0" w:color="auto"/>
              <w:bottom w:val="single" w:sz="4" w:space="0" w:color="auto"/>
              <w:right w:val="nil"/>
            </w:tcBorders>
            <w:vAlign w:val="bottom"/>
          </w:tcPr>
          <w:p w:rsidR="00326471" w:rsidRPr="0049041F" w:rsidRDefault="00326471" w:rsidP="00047A0B">
            <w:pPr>
              <w:spacing w:before="120" w:after="120" w:line="276" w:lineRule="auto"/>
              <w:jc w:val="center"/>
              <w:rPr>
                <w:sz w:val="16"/>
                <w:szCs w:val="16"/>
              </w:rPr>
            </w:pPr>
            <w:r w:rsidRPr="0049041F">
              <w:rPr>
                <w:sz w:val="16"/>
                <w:szCs w:val="16"/>
              </w:rPr>
              <w:t>CO</w:t>
            </w:r>
          </w:p>
        </w:tc>
      </w:tr>
      <w:tr w:rsidR="00254717" w:rsidRPr="0049041F" w:rsidTr="00725E63">
        <w:trPr>
          <w:trHeight w:val="20"/>
          <w:jc w:val="center"/>
        </w:trPr>
        <w:tc>
          <w:tcPr>
            <w:tcW w:w="4067" w:type="dxa"/>
            <w:tcBorders>
              <w:top w:val="single" w:sz="4" w:space="0" w:color="auto"/>
              <w:left w:val="nil"/>
              <w:bottom w:val="nil"/>
              <w:right w:val="single" w:sz="4" w:space="0" w:color="auto"/>
            </w:tcBorders>
            <w:shd w:val="clear" w:color="auto" w:fill="auto"/>
          </w:tcPr>
          <w:p w:rsidR="00725E63" w:rsidRPr="0049041F" w:rsidRDefault="00725E63" w:rsidP="00047A0B">
            <w:pPr>
              <w:spacing w:line="276" w:lineRule="auto"/>
              <w:rPr>
                <w:b/>
                <w:sz w:val="16"/>
                <w:szCs w:val="16"/>
              </w:rPr>
            </w:pPr>
          </w:p>
        </w:tc>
        <w:tc>
          <w:tcPr>
            <w:tcW w:w="1351" w:type="dxa"/>
            <w:tcBorders>
              <w:top w:val="single" w:sz="4" w:space="0" w:color="auto"/>
              <w:left w:val="single" w:sz="4" w:space="0" w:color="auto"/>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226" w:type="dxa"/>
            <w:tcBorders>
              <w:top w:val="single" w:sz="4" w:space="0" w:color="auto"/>
              <w:left w:val="nil"/>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180" w:type="dxa"/>
            <w:tcBorders>
              <w:top w:val="single" w:sz="4" w:space="0" w:color="auto"/>
              <w:left w:val="nil"/>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275" w:type="dxa"/>
            <w:tcBorders>
              <w:top w:val="single" w:sz="4" w:space="0" w:color="auto"/>
              <w:left w:val="nil"/>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210" w:type="dxa"/>
            <w:tcBorders>
              <w:top w:val="single" w:sz="4" w:space="0" w:color="auto"/>
              <w:left w:val="nil"/>
              <w:bottom w:val="nil"/>
              <w:right w:val="nil"/>
            </w:tcBorders>
            <w:vAlign w:val="bottom"/>
          </w:tcPr>
          <w:p w:rsidR="00725E63" w:rsidRPr="0049041F" w:rsidRDefault="00725E63" w:rsidP="00047A0B">
            <w:pPr>
              <w:spacing w:line="276" w:lineRule="auto"/>
              <w:jc w:val="right"/>
              <w:rPr>
                <w:b/>
                <w:sz w:val="16"/>
                <w:szCs w:val="16"/>
              </w:rPr>
            </w:pP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326471" w:rsidRPr="0049041F" w:rsidRDefault="00B32073" w:rsidP="00B32073">
            <w:pPr>
              <w:spacing w:line="276" w:lineRule="auto"/>
              <w:rPr>
                <w:b/>
                <w:sz w:val="16"/>
                <w:szCs w:val="16"/>
              </w:rPr>
            </w:pPr>
            <w:r>
              <w:rPr>
                <w:b/>
                <w:sz w:val="16"/>
                <w:szCs w:val="16"/>
              </w:rPr>
              <w:t>T</w:t>
            </w:r>
            <w:r w:rsidRPr="0049041F">
              <w:rPr>
                <w:b/>
                <w:sz w:val="16"/>
                <w:szCs w:val="16"/>
              </w:rPr>
              <w:t xml:space="preserve">otal </w:t>
            </w:r>
            <w:r>
              <w:rPr>
                <w:b/>
                <w:sz w:val="16"/>
                <w:szCs w:val="16"/>
              </w:rPr>
              <w:t>Industries</w:t>
            </w:r>
            <w:r w:rsidR="00A41200" w:rsidRPr="0049041F">
              <w:rPr>
                <w:b/>
                <w:sz w:val="16"/>
                <w:szCs w:val="16"/>
              </w:rPr>
              <w:t xml:space="preserve"> and households</w:t>
            </w:r>
            <w:r w:rsidR="00E468B9" w:rsidRPr="0049041F">
              <w:rPr>
                <w:b/>
                <w:sz w:val="16"/>
                <w:szCs w:val="16"/>
              </w:rPr>
              <w:t xml:space="preserve"> </w:t>
            </w:r>
          </w:p>
        </w:tc>
        <w:tc>
          <w:tcPr>
            <w:tcW w:w="1351" w:type="dxa"/>
            <w:tcBorders>
              <w:top w:val="nil"/>
              <w:left w:val="single" w:sz="4" w:space="0" w:color="auto"/>
              <w:bottom w:val="nil"/>
              <w:right w:val="nil"/>
            </w:tcBorders>
            <w:shd w:val="clear" w:color="auto" w:fill="auto"/>
            <w:vAlign w:val="bottom"/>
          </w:tcPr>
          <w:p w:rsidR="00326471" w:rsidRPr="0049041F" w:rsidRDefault="000D13A0" w:rsidP="00047A0B">
            <w:pPr>
              <w:spacing w:line="276" w:lineRule="auto"/>
              <w:ind w:right="170"/>
              <w:jc w:val="right"/>
              <w:rPr>
                <w:b/>
                <w:sz w:val="16"/>
                <w:szCs w:val="16"/>
              </w:rPr>
            </w:pPr>
            <w:r w:rsidRPr="0049041F">
              <w:rPr>
                <w:b/>
                <w:sz w:val="16"/>
                <w:szCs w:val="16"/>
              </w:rPr>
              <w:t>113</w:t>
            </w:r>
            <w:r w:rsidR="00047A0B">
              <w:rPr>
                <w:b/>
                <w:sz w:val="16"/>
                <w:szCs w:val="16"/>
              </w:rPr>
              <w:t>.</w:t>
            </w:r>
            <w:r w:rsidRPr="0049041F">
              <w:rPr>
                <w:b/>
                <w:sz w:val="16"/>
                <w:szCs w:val="16"/>
              </w:rPr>
              <w:t>49</w:t>
            </w:r>
          </w:p>
        </w:tc>
        <w:tc>
          <w:tcPr>
            <w:tcW w:w="1226" w:type="dxa"/>
            <w:tcBorders>
              <w:top w:val="nil"/>
              <w:left w:val="nil"/>
              <w:bottom w:val="nil"/>
              <w:right w:val="nil"/>
            </w:tcBorders>
            <w:shd w:val="clear" w:color="auto" w:fill="auto"/>
            <w:vAlign w:val="bottom"/>
          </w:tcPr>
          <w:p w:rsidR="00326471" w:rsidRPr="0049041F" w:rsidRDefault="000D13A0" w:rsidP="00047A0B">
            <w:pPr>
              <w:spacing w:line="276" w:lineRule="auto"/>
              <w:ind w:right="170"/>
              <w:jc w:val="right"/>
              <w:rPr>
                <w:b/>
                <w:sz w:val="16"/>
                <w:szCs w:val="16"/>
              </w:rPr>
            </w:pPr>
            <w:r w:rsidRPr="0049041F">
              <w:rPr>
                <w:b/>
                <w:sz w:val="16"/>
                <w:szCs w:val="16"/>
              </w:rPr>
              <w:t>117</w:t>
            </w:r>
            <w:r w:rsidR="00047A0B">
              <w:rPr>
                <w:b/>
                <w:sz w:val="16"/>
                <w:szCs w:val="16"/>
              </w:rPr>
              <w:t>.</w:t>
            </w:r>
            <w:r w:rsidRPr="0049041F">
              <w:rPr>
                <w:b/>
                <w:sz w:val="16"/>
                <w:szCs w:val="16"/>
              </w:rPr>
              <w:t>62</w:t>
            </w:r>
          </w:p>
        </w:tc>
        <w:tc>
          <w:tcPr>
            <w:tcW w:w="1180" w:type="dxa"/>
            <w:tcBorders>
              <w:top w:val="nil"/>
              <w:left w:val="nil"/>
              <w:bottom w:val="nil"/>
              <w:right w:val="nil"/>
            </w:tcBorders>
            <w:shd w:val="clear" w:color="auto" w:fill="auto"/>
            <w:vAlign w:val="bottom"/>
          </w:tcPr>
          <w:p w:rsidR="00326471" w:rsidRPr="0049041F" w:rsidRDefault="000D13A0" w:rsidP="00047A0B">
            <w:pPr>
              <w:spacing w:line="276" w:lineRule="auto"/>
              <w:ind w:right="170"/>
              <w:jc w:val="right"/>
              <w:rPr>
                <w:b/>
                <w:sz w:val="16"/>
                <w:szCs w:val="16"/>
              </w:rPr>
            </w:pPr>
            <w:r w:rsidRPr="0049041F">
              <w:rPr>
                <w:b/>
                <w:sz w:val="16"/>
                <w:szCs w:val="16"/>
              </w:rPr>
              <w:t>327</w:t>
            </w:r>
            <w:r w:rsidR="00047A0B">
              <w:rPr>
                <w:b/>
                <w:sz w:val="16"/>
                <w:szCs w:val="16"/>
              </w:rPr>
              <w:t>.</w:t>
            </w:r>
            <w:r w:rsidRPr="0049041F">
              <w:rPr>
                <w:b/>
                <w:sz w:val="16"/>
                <w:szCs w:val="16"/>
              </w:rPr>
              <w:t>24</w:t>
            </w:r>
          </w:p>
        </w:tc>
        <w:tc>
          <w:tcPr>
            <w:tcW w:w="1275" w:type="dxa"/>
            <w:tcBorders>
              <w:top w:val="nil"/>
              <w:left w:val="nil"/>
              <w:bottom w:val="nil"/>
              <w:right w:val="nil"/>
            </w:tcBorders>
            <w:shd w:val="clear" w:color="auto" w:fill="auto"/>
            <w:vAlign w:val="bottom"/>
          </w:tcPr>
          <w:p w:rsidR="00326471" w:rsidRPr="0049041F" w:rsidRDefault="000D13A0" w:rsidP="00047A0B">
            <w:pPr>
              <w:spacing w:line="276" w:lineRule="auto"/>
              <w:ind w:right="170"/>
              <w:jc w:val="right"/>
              <w:rPr>
                <w:b/>
                <w:sz w:val="16"/>
                <w:szCs w:val="16"/>
              </w:rPr>
            </w:pPr>
            <w:r w:rsidRPr="0049041F">
              <w:rPr>
                <w:b/>
                <w:sz w:val="16"/>
                <w:szCs w:val="16"/>
              </w:rPr>
              <w:t>85</w:t>
            </w:r>
            <w:r w:rsidR="00047A0B">
              <w:rPr>
                <w:b/>
                <w:sz w:val="16"/>
                <w:szCs w:val="16"/>
              </w:rPr>
              <w:t>.</w:t>
            </w:r>
            <w:r w:rsidRPr="0049041F">
              <w:rPr>
                <w:b/>
                <w:sz w:val="16"/>
                <w:szCs w:val="16"/>
              </w:rPr>
              <w:t>99</w:t>
            </w:r>
          </w:p>
        </w:tc>
        <w:tc>
          <w:tcPr>
            <w:tcW w:w="1210" w:type="dxa"/>
            <w:tcBorders>
              <w:top w:val="nil"/>
              <w:left w:val="nil"/>
              <w:bottom w:val="nil"/>
              <w:right w:val="nil"/>
            </w:tcBorders>
            <w:vAlign w:val="bottom"/>
          </w:tcPr>
          <w:p w:rsidR="00326471" w:rsidRPr="0049041F" w:rsidRDefault="000D13A0" w:rsidP="00047A0B">
            <w:pPr>
              <w:spacing w:line="276" w:lineRule="auto"/>
              <w:ind w:right="170"/>
              <w:jc w:val="right"/>
              <w:rPr>
                <w:b/>
                <w:sz w:val="16"/>
                <w:szCs w:val="16"/>
              </w:rPr>
            </w:pPr>
            <w:r w:rsidRPr="0049041F">
              <w:rPr>
                <w:b/>
                <w:sz w:val="16"/>
                <w:szCs w:val="16"/>
              </w:rPr>
              <w:t>236</w:t>
            </w:r>
            <w:r w:rsidR="00047A0B">
              <w:rPr>
                <w:b/>
                <w:sz w:val="16"/>
                <w:szCs w:val="16"/>
              </w:rPr>
              <w:t>.</w:t>
            </w:r>
            <w:r w:rsidRPr="0049041F">
              <w:rPr>
                <w:b/>
                <w:sz w:val="16"/>
                <w:szCs w:val="16"/>
              </w:rPr>
              <w:t>38</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326471" w:rsidRPr="0049041F" w:rsidRDefault="00B32073" w:rsidP="00B32073">
            <w:pPr>
              <w:spacing w:line="276" w:lineRule="auto"/>
              <w:rPr>
                <w:b/>
                <w:sz w:val="16"/>
                <w:szCs w:val="16"/>
              </w:rPr>
            </w:pPr>
            <w:r>
              <w:rPr>
                <w:b/>
                <w:sz w:val="16"/>
                <w:szCs w:val="16"/>
              </w:rPr>
              <w:t>T</w:t>
            </w:r>
            <w:r w:rsidRPr="0049041F">
              <w:rPr>
                <w:b/>
                <w:sz w:val="16"/>
                <w:szCs w:val="16"/>
              </w:rPr>
              <w:t xml:space="preserve">otal </w:t>
            </w:r>
            <w:r>
              <w:rPr>
                <w:b/>
                <w:sz w:val="16"/>
                <w:szCs w:val="16"/>
              </w:rPr>
              <w:t>Industries</w:t>
            </w:r>
            <w:r w:rsidR="00E468B9" w:rsidRPr="0049041F">
              <w:rPr>
                <w:b/>
                <w:sz w:val="16"/>
                <w:szCs w:val="16"/>
              </w:rPr>
              <w:t xml:space="preserve"> </w:t>
            </w:r>
          </w:p>
        </w:tc>
        <w:tc>
          <w:tcPr>
            <w:tcW w:w="1351" w:type="dxa"/>
            <w:tcBorders>
              <w:top w:val="nil"/>
              <w:left w:val="single" w:sz="4" w:space="0" w:color="auto"/>
              <w:bottom w:val="nil"/>
              <w:right w:val="nil"/>
            </w:tcBorders>
            <w:shd w:val="clear" w:color="auto" w:fill="auto"/>
            <w:vAlign w:val="bottom"/>
          </w:tcPr>
          <w:p w:rsidR="00326471" w:rsidRPr="0049041F" w:rsidRDefault="002F31A0" w:rsidP="00047A0B">
            <w:pPr>
              <w:spacing w:line="276" w:lineRule="auto"/>
              <w:ind w:right="170"/>
              <w:jc w:val="right"/>
              <w:rPr>
                <w:b/>
                <w:sz w:val="16"/>
                <w:szCs w:val="16"/>
              </w:rPr>
            </w:pPr>
            <w:r w:rsidRPr="0049041F">
              <w:rPr>
                <w:b/>
                <w:sz w:val="16"/>
                <w:szCs w:val="16"/>
              </w:rPr>
              <w:t>90</w:t>
            </w:r>
            <w:r w:rsidR="00047A0B">
              <w:rPr>
                <w:b/>
                <w:sz w:val="16"/>
                <w:szCs w:val="16"/>
              </w:rPr>
              <w:t>.</w:t>
            </w:r>
            <w:r w:rsidRPr="0049041F">
              <w:rPr>
                <w:b/>
                <w:sz w:val="16"/>
                <w:szCs w:val="16"/>
              </w:rPr>
              <w:t>41</w:t>
            </w:r>
          </w:p>
        </w:tc>
        <w:tc>
          <w:tcPr>
            <w:tcW w:w="1226" w:type="dxa"/>
            <w:tcBorders>
              <w:top w:val="nil"/>
              <w:left w:val="nil"/>
              <w:bottom w:val="nil"/>
              <w:right w:val="nil"/>
            </w:tcBorders>
            <w:shd w:val="clear" w:color="auto" w:fill="auto"/>
            <w:vAlign w:val="bottom"/>
          </w:tcPr>
          <w:p w:rsidR="00326471" w:rsidRPr="0049041F" w:rsidRDefault="002F31A0" w:rsidP="00047A0B">
            <w:pPr>
              <w:spacing w:line="276" w:lineRule="auto"/>
              <w:ind w:right="170"/>
              <w:jc w:val="right"/>
              <w:rPr>
                <w:b/>
                <w:sz w:val="16"/>
                <w:szCs w:val="16"/>
              </w:rPr>
            </w:pPr>
            <w:r w:rsidRPr="0049041F">
              <w:rPr>
                <w:b/>
                <w:sz w:val="16"/>
                <w:szCs w:val="16"/>
              </w:rPr>
              <w:t>59</w:t>
            </w:r>
            <w:r w:rsidR="00047A0B">
              <w:rPr>
                <w:b/>
                <w:sz w:val="16"/>
                <w:szCs w:val="16"/>
              </w:rPr>
              <w:t>.</w:t>
            </w:r>
            <w:r w:rsidRPr="0049041F">
              <w:rPr>
                <w:b/>
                <w:sz w:val="16"/>
                <w:szCs w:val="16"/>
              </w:rPr>
              <w:t>66</w:t>
            </w:r>
          </w:p>
        </w:tc>
        <w:tc>
          <w:tcPr>
            <w:tcW w:w="1180" w:type="dxa"/>
            <w:tcBorders>
              <w:top w:val="nil"/>
              <w:left w:val="nil"/>
              <w:bottom w:val="nil"/>
              <w:right w:val="nil"/>
            </w:tcBorders>
            <w:shd w:val="clear" w:color="auto" w:fill="auto"/>
            <w:vAlign w:val="bottom"/>
          </w:tcPr>
          <w:p w:rsidR="00326471" w:rsidRPr="0049041F" w:rsidRDefault="002F31A0" w:rsidP="00047A0B">
            <w:pPr>
              <w:spacing w:line="276" w:lineRule="auto"/>
              <w:ind w:right="170"/>
              <w:jc w:val="right"/>
              <w:rPr>
                <w:b/>
                <w:sz w:val="16"/>
                <w:szCs w:val="16"/>
              </w:rPr>
            </w:pPr>
            <w:r w:rsidRPr="0049041F">
              <w:rPr>
                <w:b/>
                <w:sz w:val="16"/>
                <w:szCs w:val="16"/>
              </w:rPr>
              <w:t>322</w:t>
            </w:r>
            <w:r w:rsidR="00047A0B">
              <w:rPr>
                <w:b/>
                <w:sz w:val="16"/>
                <w:szCs w:val="16"/>
              </w:rPr>
              <w:t>.</w:t>
            </w:r>
            <w:r w:rsidRPr="0049041F">
              <w:rPr>
                <w:b/>
                <w:sz w:val="16"/>
                <w:szCs w:val="16"/>
              </w:rPr>
              <w:t>94</w:t>
            </w:r>
          </w:p>
        </w:tc>
        <w:tc>
          <w:tcPr>
            <w:tcW w:w="1275" w:type="dxa"/>
            <w:tcBorders>
              <w:top w:val="nil"/>
              <w:left w:val="nil"/>
              <w:bottom w:val="nil"/>
              <w:right w:val="nil"/>
            </w:tcBorders>
            <w:shd w:val="clear" w:color="auto" w:fill="auto"/>
            <w:vAlign w:val="bottom"/>
          </w:tcPr>
          <w:p w:rsidR="00326471" w:rsidRPr="0049041F" w:rsidRDefault="002F31A0" w:rsidP="00047A0B">
            <w:pPr>
              <w:spacing w:line="276" w:lineRule="auto"/>
              <w:ind w:right="170"/>
              <w:jc w:val="right"/>
              <w:rPr>
                <w:b/>
                <w:sz w:val="16"/>
                <w:szCs w:val="16"/>
              </w:rPr>
            </w:pPr>
            <w:r w:rsidRPr="0049041F">
              <w:rPr>
                <w:b/>
                <w:sz w:val="16"/>
                <w:szCs w:val="16"/>
              </w:rPr>
              <w:t>37</w:t>
            </w:r>
            <w:r w:rsidR="00047A0B">
              <w:rPr>
                <w:b/>
                <w:sz w:val="16"/>
                <w:szCs w:val="16"/>
              </w:rPr>
              <w:t>.</w:t>
            </w:r>
            <w:r w:rsidRPr="0049041F">
              <w:rPr>
                <w:b/>
                <w:sz w:val="16"/>
                <w:szCs w:val="16"/>
              </w:rPr>
              <w:t>19</w:t>
            </w:r>
          </w:p>
        </w:tc>
        <w:tc>
          <w:tcPr>
            <w:tcW w:w="1210" w:type="dxa"/>
            <w:tcBorders>
              <w:top w:val="nil"/>
              <w:left w:val="nil"/>
              <w:bottom w:val="nil"/>
              <w:right w:val="nil"/>
            </w:tcBorders>
            <w:vAlign w:val="bottom"/>
          </w:tcPr>
          <w:p w:rsidR="00326471" w:rsidRPr="0049041F" w:rsidRDefault="002F31A0" w:rsidP="00047A0B">
            <w:pPr>
              <w:spacing w:line="276" w:lineRule="auto"/>
              <w:ind w:right="170"/>
              <w:jc w:val="right"/>
              <w:rPr>
                <w:b/>
                <w:sz w:val="16"/>
                <w:szCs w:val="16"/>
              </w:rPr>
            </w:pPr>
            <w:r w:rsidRPr="0049041F">
              <w:rPr>
                <w:b/>
                <w:sz w:val="16"/>
                <w:szCs w:val="16"/>
              </w:rPr>
              <w:t>34</w:t>
            </w:r>
            <w:r w:rsidR="00047A0B">
              <w:rPr>
                <w:b/>
                <w:sz w:val="16"/>
                <w:szCs w:val="16"/>
              </w:rPr>
              <w:t>.</w:t>
            </w:r>
            <w:r w:rsidRPr="0049041F">
              <w:rPr>
                <w:b/>
                <w:sz w:val="16"/>
                <w:szCs w:val="16"/>
              </w:rPr>
              <w:t>61</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326471" w:rsidRPr="0049041F" w:rsidRDefault="00A41200" w:rsidP="00047A0B">
            <w:pPr>
              <w:spacing w:line="276" w:lineRule="auto"/>
              <w:ind w:left="170"/>
              <w:rPr>
                <w:sz w:val="16"/>
                <w:szCs w:val="16"/>
              </w:rPr>
            </w:pPr>
            <w:r w:rsidRPr="0049041F">
              <w:rPr>
                <w:sz w:val="16"/>
                <w:szCs w:val="16"/>
              </w:rPr>
              <w:t>Agriculture</w:t>
            </w:r>
            <w:r w:rsidR="00071E91" w:rsidRPr="0049041F">
              <w:rPr>
                <w:sz w:val="16"/>
                <w:szCs w:val="16"/>
              </w:rPr>
              <w:t xml:space="preserve">, </w:t>
            </w:r>
            <w:r w:rsidRPr="0049041F">
              <w:rPr>
                <w:sz w:val="16"/>
                <w:szCs w:val="16"/>
              </w:rPr>
              <w:t>forestry</w:t>
            </w:r>
            <w:r w:rsidR="00071E91" w:rsidRPr="0049041F">
              <w:rPr>
                <w:sz w:val="16"/>
                <w:szCs w:val="16"/>
              </w:rPr>
              <w:t xml:space="preserve"> </w:t>
            </w:r>
            <w:r w:rsidRPr="0049041F">
              <w:rPr>
                <w:sz w:val="16"/>
                <w:szCs w:val="16"/>
              </w:rPr>
              <w:t>and</w:t>
            </w:r>
            <w:r w:rsidR="00071E91" w:rsidRPr="0049041F">
              <w:rPr>
                <w:sz w:val="16"/>
                <w:szCs w:val="16"/>
              </w:rPr>
              <w:t xml:space="preserve"> </w:t>
            </w:r>
            <w:r w:rsidRPr="0049041F">
              <w:rPr>
                <w:sz w:val="16"/>
                <w:szCs w:val="16"/>
              </w:rPr>
              <w:t>fishing</w:t>
            </w:r>
          </w:p>
        </w:tc>
        <w:tc>
          <w:tcPr>
            <w:tcW w:w="1351" w:type="dxa"/>
            <w:tcBorders>
              <w:top w:val="nil"/>
              <w:left w:val="single" w:sz="4" w:space="0" w:color="auto"/>
              <w:bottom w:val="nil"/>
              <w:right w:val="nil"/>
            </w:tcBorders>
            <w:shd w:val="clear" w:color="auto" w:fill="auto"/>
            <w:vAlign w:val="bottom"/>
          </w:tcPr>
          <w:p w:rsidR="00326471" w:rsidRPr="0049041F" w:rsidRDefault="00253EE4" w:rsidP="00047A0B">
            <w:pPr>
              <w:spacing w:line="276" w:lineRule="auto"/>
              <w:ind w:right="170"/>
              <w:jc w:val="right"/>
              <w:rPr>
                <w:sz w:val="16"/>
                <w:szCs w:val="16"/>
              </w:rPr>
            </w:pPr>
            <w:r w:rsidRPr="0049041F">
              <w:rPr>
                <w:sz w:val="16"/>
                <w:szCs w:val="16"/>
              </w:rPr>
              <w:t>6</w:t>
            </w:r>
            <w:r w:rsidR="00047A0B">
              <w:rPr>
                <w:sz w:val="16"/>
                <w:szCs w:val="16"/>
              </w:rPr>
              <w:t>.</w:t>
            </w:r>
            <w:r w:rsidRPr="0049041F">
              <w:rPr>
                <w:sz w:val="16"/>
                <w:szCs w:val="16"/>
              </w:rPr>
              <w:t>75</w:t>
            </w:r>
          </w:p>
        </w:tc>
        <w:tc>
          <w:tcPr>
            <w:tcW w:w="1226" w:type="dxa"/>
            <w:tcBorders>
              <w:top w:val="nil"/>
              <w:left w:val="nil"/>
              <w:bottom w:val="nil"/>
              <w:right w:val="nil"/>
            </w:tcBorders>
            <w:shd w:val="clear" w:color="auto" w:fill="auto"/>
            <w:vAlign w:val="bottom"/>
          </w:tcPr>
          <w:p w:rsidR="00326471" w:rsidRPr="0049041F" w:rsidRDefault="00253EE4" w:rsidP="00047A0B">
            <w:pPr>
              <w:spacing w:line="276" w:lineRule="auto"/>
              <w:ind w:right="170"/>
              <w:jc w:val="right"/>
              <w:rPr>
                <w:sz w:val="16"/>
                <w:szCs w:val="16"/>
              </w:rPr>
            </w:pPr>
            <w:r w:rsidRPr="0049041F">
              <w:rPr>
                <w:sz w:val="16"/>
                <w:szCs w:val="16"/>
              </w:rPr>
              <w:t>2</w:t>
            </w:r>
            <w:r w:rsidR="00047A0B">
              <w:rPr>
                <w:sz w:val="16"/>
                <w:szCs w:val="16"/>
              </w:rPr>
              <w:t>.</w:t>
            </w:r>
            <w:r w:rsidRPr="0049041F">
              <w:rPr>
                <w:sz w:val="16"/>
                <w:szCs w:val="16"/>
              </w:rPr>
              <w:t>30</w:t>
            </w:r>
          </w:p>
        </w:tc>
        <w:tc>
          <w:tcPr>
            <w:tcW w:w="1180" w:type="dxa"/>
            <w:tcBorders>
              <w:top w:val="nil"/>
              <w:left w:val="nil"/>
              <w:bottom w:val="nil"/>
              <w:right w:val="nil"/>
            </w:tcBorders>
            <w:shd w:val="clear" w:color="auto" w:fill="auto"/>
            <w:vAlign w:val="bottom"/>
          </w:tcPr>
          <w:p w:rsidR="00326471" w:rsidRPr="0049041F" w:rsidRDefault="00253EE4"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01</w:t>
            </w:r>
          </w:p>
        </w:tc>
        <w:tc>
          <w:tcPr>
            <w:tcW w:w="1275" w:type="dxa"/>
            <w:tcBorders>
              <w:top w:val="nil"/>
              <w:left w:val="nil"/>
              <w:bottom w:val="nil"/>
              <w:right w:val="nil"/>
            </w:tcBorders>
            <w:shd w:val="clear" w:color="auto" w:fill="auto"/>
            <w:vAlign w:val="bottom"/>
          </w:tcPr>
          <w:p w:rsidR="00326471" w:rsidRPr="0049041F" w:rsidRDefault="00253EE4" w:rsidP="00047A0B">
            <w:pPr>
              <w:spacing w:line="276" w:lineRule="auto"/>
              <w:ind w:right="170"/>
              <w:jc w:val="right"/>
              <w:rPr>
                <w:sz w:val="16"/>
                <w:szCs w:val="16"/>
              </w:rPr>
            </w:pPr>
            <w:r w:rsidRPr="0049041F">
              <w:rPr>
                <w:sz w:val="16"/>
                <w:szCs w:val="16"/>
              </w:rPr>
              <w:t>27</w:t>
            </w:r>
            <w:r w:rsidR="00047A0B">
              <w:rPr>
                <w:sz w:val="16"/>
                <w:szCs w:val="16"/>
              </w:rPr>
              <w:t>.</w:t>
            </w:r>
            <w:r w:rsidRPr="0049041F">
              <w:rPr>
                <w:sz w:val="16"/>
                <w:szCs w:val="16"/>
              </w:rPr>
              <w:t>47</w:t>
            </w:r>
          </w:p>
        </w:tc>
        <w:tc>
          <w:tcPr>
            <w:tcW w:w="1210" w:type="dxa"/>
            <w:tcBorders>
              <w:top w:val="nil"/>
              <w:left w:val="nil"/>
              <w:bottom w:val="nil"/>
              <w:right w:val="nil"/>
            </w:tcBorders>
            <w:vAlign w:val="bottom"/>
          </w:tcPr>
          <w:p w:rsidR="00326471" w:rsidRPr="0049041F" w:rsidRDefault="00253EE4"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31</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071E91" w:rsidRPr="0049041F" w:rsidRDefault="00A41200" w:rsidP="00047A0B">
            <w:pPr>
              <w:spacing w:line="276" w:lineRule="auto"/>
              <w:ind w:left="170"/>
              <w:rPr>
                <w:sz w:val="16"/>
                <w:szCs w:val="16"/>
              </w:rPr>
            </w:pPr>
            <w:r w:rsidRPr="0049041F">
              <w:rPr>
                <w:sz w:val="16"/>
                <w:szCs w:val="16"/>
              </w:rPr>
              <w:t>Mining and quarrying</w:t>
            </w:r>
          </w:p>
        </w:tc>
        <w:tc>
          <w:tcPr>
            <w:tcW w:w="1351" w:type="dxa"/>
            <w:tcBorders>
              <w:top w:val="nil"/>
              <w:left w:val="single" w:sz="4" w:space="0" w:color="auto"/>
              <w:bottom w:val="nil"/>
              <w:right w:val="nil"/>
            </w:tcBorders>
            <w:shd w:val="clear" w:color="auto" w:fill="auto"/>
            <w:vAlign w:val="bottom"/>
          </w:tcPr>
          <w:p w:rsidR="00071E91" w:rsidRPr="0049041F" w:rsidRDefault="00253EE4"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18</w:t>
            </w:r>
          </w:p>
        </w:tc>
        <w:tc>
          <w:tcPr>
            <w:tcW w:w="1226" w:type="dxa"/>
            <w:tcBorders>
              <w:top w:val="nil"/>
              <w:left w:val="nil"/>
              <w:bottom w:val="nil"/>
              <w:right w:val="nil"/>
            </w:tcBorders>
            <w:shd w:val="clear" w:color="auto" w:fill="auto"/>
            <w:vAlign w:val="bottom"/>
          </w:tcPr>
          <w:p w:rsidR="00071E91" w:rsidRPr="0049041F" w:rsidRDefault="00377F68"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81</w:t>
            </w:r>
          </w:p>
        </w:tc>
        <w:tc>
          <w:tcPr>
            <w:tcW w:w="1180" w:type="dxa"/>
            <w:tcBorders>
              <w:top w:val="nil"/>
              <w:left w:val="nil"/>
              <w:bottom w:val="nil"/>
              <w:right w:val="nil"/>
            </w:tcBorders>
            <w:shd w:val="clear" w:color="auto" w:fill="auto"/>
            <w:vAlign w:val="bottom"/>
          </w:tcPr>
          <w:p w:rsidR="00071E91" w:rsidRPr="0049041F" w:rsidRDefault="00377F68"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36</w:t>
            </w:r>
          </w:p>
        </w:tc>
        <w:tc>
          <w:tcPr>
            <w:tcW w:w="1275" w:type="dxa"/>
            <w:tcBorders>
              <w:top w:val="nil"/>
              <w:left w:val="nil"/>
              <w:bottom w:val="nil"/>
              <w:right w:val="nil"/>
            </w:tcBorders>
            <w:shd w:val="clear" w:color="auto" w:fill="auto"/>
            <w:vAlign w:val="bottom"/>
          </w:tcPr>
          <w:p w:rsidR="00071E91" w:rsidRPr="0049041F" w:rsidRDefault="00377F68"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00</w:t>
            </w:r>
          </w:p>
        </w:tc>
        <w:tc>
          <w:tcPr>
            <w:tcW w:w="1210" w:type="dxa"/>
            <w:tcBorders>
              <w:top w:val="nil"/>
              <w:left w:val="nil"/>
              <w:bottom w:val="nil"/>
              <w:right w:val="nil"/>
            </w:tcBorders>
            <w:vAlign w:val="bottom"/>
          </w:tcPr>
          <w:p w:rsidR="00071E91" w:rsidRPr="0049041F" w:rsidRDefault="00377F68"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08</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071E91" w:rsidRPr="0049041F" w:rsidRDefault="00A41200" w:rsidP="00047A0B">
            <w:pPr>
              <w:spacing w:line="276" w:lineRule="auto"/>
              <w:ind w:left="170"/>
              <w:rPr>
                <w:sz w:val="16"/>
                <w:szCs w:val="16"/>
              </w:rPr>
            </w:pPr>
            <w:r w:rsidRPr="0049041F">
              <w:rPr>
                <w:sz w:val="16"/>
                <w:szCs w:val="16"/>
              </w:rPr>
              <w:t>Manufacturing</w:t>
            </w:r>
          </w:p>
        </w:tc>
        <w:tc>
          <w:tcPr>
            <w:tcW w:w="1351" w:type="dxa"/>
            <w:tcBorders>
              <w:top w:val="nil"/>
              <w:left w:val="single" w:sz="4" w:space="0" w:color="auto"/>
              <w:bottom w:val="nil"/>
              <w:right w:val="nil"/>
            </w:tcBorders>
            <w:shd w:val="clear" w:color="auto" w:fill="auto"/>
            <w:vAlign w:val="bottom"/>
          </w:tcPr>
          <w:p w:rsidR="00071E91" w:rsidRPr="0049041F" w:rsidRDefault="00377F68" w:rsidP="00047A0B">
            <w:pPr>
              <w:spacing w:line="276" w:lineRule="auto"/>
              <w:ind w:right="170"/>
              <w:jc w:val="right"/>
              <w:rPr>
                <w:sz w:val="16"/>
                <w:szCs w:val="16"/>
              </w:rPr>
            </w:pPr>
            <w:r w:rsidRPr="0049041F">
              <w:rPr>
                <w:sz w:val="16"/>
                <w:szCs w:val="16"/>
              </w:rPr>
              <w:t>12</w:t>
            </w:r>
            <w:r w:rsidR="00047A0B">
              <w:rPr>
                <w:sz w:val="16"/>
                <w:szCs w:val="16"/>
              </w:rPr>
              <w:t>.</w:t>
            </w:r>
            <w:r w:rsidRPr="0049041F">
              <w:rPr>
                <w:sz w:val="16"/>
                <w:szCs w:val="16"/>
              </w:rPr>
              <w:t>45</w:t>
            </w:r>
          </w:p>
        </w:tc>
        <w:tc>
          <w:tcPr>
            <w:tcW w:w="1226" w:type="dxa"/>
            <w:tcBorders>
              <w:top w:val="nil"/>
              <w:left w:val="nil"/>
              <w:bottom w:val="nil"/>
              <w:right w:val="nil"/>
            </w:tcBorders>
            <w:shd w:val="clear" w:color="auto" w:fill="auto"/>
            <w:vAlign w:val="bottom"/>
          </w:tcPr>
          <w:p w:rsidR="00071E91" w:rsidRPr="0049041F" w:rsidRDefault="00377F68" w:rsidP="00047A0B">
            <w:pPr>
              <w:spacing w:line="276" w:lineRule="auto"/>
              <w:ind w:right="170"/>
              <w:jc w:val="right"/>
              <w:rPr>
                <w:sz w:val="16"/>
                <w:szCs w:val="16"/>
              </w:rPr>
            </w:pPr>
            <w:r w:rsidRPr="0049041F">
              <w:rPr>
                <w:sz w:val="16"/>
                <w:szCs w:val="16"/>
              </w:rPr>
              <w:t>30</w:t>
            </w:r>
            <w:r w:rsidR="00047A0B">
              <w:rPr>
                <w:sz w:val="16"/>
                <w:szCs w:val="16"/>
              </w:rPr>
              <w:t>.</w:t>
            </w:r>
            <w:r w:rsidRPr="0049041F">
              <w:rPr>
                <w:sz w:val="16"/>
                <w:szCs w:val="16"/>
              </w:rPr>
              <w:t>33</w:t>
            </w:r>
          </w:p>
        </w:tc>
        <w:tc>
          <w:tcPr>
            <w:tcW w:w="1180" w:type="dxa"/>
            <w:tcBorders>
              <w:top w:val="nil"/>
              <w:left w:val="nil"/>
              <w:bottom w:val="nil"/>
              <w:right w:val="nil"/>
            </w:tcBorders>
            <w:shd w:val="clear" w:color="auto" w:fill="auto"/>
            <w:vAlign w:val="bottom"/>
          </w:tcPr>
          <w:p w:rsidR="00071E91" w:rsidRPr="0049041F" w:rsidRDefault="00377F68" w:rsidP="00047A0B">
            <w:pPr>
              <w:spacing w:line="276" w:lineRule="auto"/>
              <w:ind w:right="170"/>
              <w:jc w:val="right"/>
              <w:rPr>
                <w:sz w:val="16"/>
                <w:szCs w:val="16"/>
              </w:rPr>
            </w:pPr>
            <w:r w:rsidRPr="0049041F">
              <w:rPr>
                <w:sz w:val="16"/>
                <w:szCs w:val="16"/>
              </w:rPr>
              <w:t>8</w:t>
            </w:r>
            <w:r w:rsidR="00047A0B">
              <w:rPr>
                <w:sz w:val="16"/>
                <w:szCs w:val="16"/>
              </w:rPr>
              <w:t>.</w:t>
            </w:r>
            <w:r w:rsidRPr="0049041F">
              <w:rPr>
                <w:sz w:val="16"/>
                <w:szCs w:val="16"/>
              </w:rPr>
              <w:t>01</w:t>
            </w:r>
          </w:p>
        </w:tc>
        <w:tc>
          <w:tcPr>
            <w:tcW w:w="1275" w:type="dxa"/>
            <w:tcBorders>
              <w:top w:val="nil"/>
              <w:left w:val="nil"/>
              <w:bottom w:val="nil"/>
              <w:right w:val="nil"/>
            </w:tcBorders>
            <w:shd w:val="clear" w:color="auto" w:fill="auto"/>
            <w:vAlign w:val="bottom"/>
          </w:tcPr>
          <w:p w:rsidR="00071E91" w:rsidRPr="0049041F" w:rsidRDefault="00377F68" w:rsidP="00047A0B">
            <w:pPr>
              <w:spacing w:line="276" w:lineRule="auto"/>
              <w:ind w:right="170"/>
              <w:jc w:val="right"/>
              <w:rPr>
                <w:sz w:val="16"/>
                <w:szCs w:val="16"/>
              </w:rPr>
            </w:pPr>
            <w:r w:rsidRPr="0049041F">
              <w:rPr>
                <w:sz w:val="16"/>
                <w:szCs w:val="16"/>
              </w:rPr>
              <w:t>4</w:t>
            </w:r>
            <w:r w:rsidR="00047A0B">
              <w:rPr>
                <w:sz w:val="16"/>
                <w:szCs w:val="16"/>
              </w:rPr>
              <w:t>.</w:t>
            </w:r>
            <w:r w:rsidRPr="0049041F">
              <w:rPr>
                <w:sz w:val="16"/>
                <w:szCs w:val="16"/>
              </w:rPr>
              <w:t>93</w:t>
            </w:r>
          </w:p>
        </w:tc>
        <w:tc>
          <w:tcPr>
            <w:tcW w:w="1210" w:type="dxa"/>
            <w:tcBorders>
              <w:top w:val="nil"/>
              <w:left w:val="nil"/>
              <w:bottom w:val="nil"/>
              <w:right w:val="nil"/>
            </w:tcBorders>
            <w:vAlign w:val="bottom"/>
          </w:tcPr>
          <w:p w:rsidR="00071E91" w:rsidRPr="0049041F" w:rsidRDefault="00377F68" w:rsidP="00047A0B">
            <w:pPr>
              <w:spacing w:line="276" w:lineRule="auto"/>
              <w:ind w:right="170"/>
              <w:jc w:val="right"/>
              <w:rPr>
                <w:sz w:val="16"/>
                <w:szCs w:val="16"/>
              </w:rPr>
            </w:pPr>
            <w:r w:rsidRPr="0049041F">
              <w:rPr>
                <w:sz w:val="16"/>
                <w:szCs w:val="16"/>
              </w:rPr>
              <w:t>23</w:t>
            </w:r>
            <w:r w:rsidR="00047A0B">
              <w:rPr>
                <w:sz w:val="16"/>
                <w:szCs w:val="16"/>
              </w:rPr>
              <w:t>.</w:t>
            </w:r>
            <w:r w:rsidRPr="0049041F">
              <w:rPr>
                <w:sz w:val="16"/>
                <w:szCs w:val="16"/>
              </w:rPr>
              <w:t>00</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071E91" w:rsidRPr="0049041F" w:rsidRDefault="00254717" w:rsidP="00047A0B">
            <w:pPr>
              <w:spacing w:line="276" w:lineRule="auto"/>
              <w:ind w:left="170"/>
              <w:rPr>
                <w:sz w:val="16"/>
                <w:szCs w:val="16"/>
              </w:rPr>
            </w:pPr>
            <w:r w:rsidRPr="0049041F">
              <w:rPr>
                <w:sz w:val="16"/>
                <w:szCs w:val="16"/>
              </w:rPr>
              <w:t>Electricity, gas, steam and air conditioning supply</w:t>
            </w:r>
          </w:p>
        </w:tc>
        <w:tc>
          <w:tcPr>
            <w:tcW w:w="1351" w:type="dxa"/>
            <w:tcBorders>
              <w:top w:val="nil"/>
              <w:left w:val="single" w:sz="4" w:space="0" w:color="auto"/>
              <w:bottom w:val="nil"/>
              <w:right w:val="nil"/>
            </w:tcBorders>
            <w:shd w:val="clear" w:color="auto" w:fill="auto"/>
            <w:vAlign w:val="bottom"/>
          </w:tcPr>
          <w:p w:rsidR="00071E91" w:rsidRPr="0049041F" w:rsidRDefault="00CA4CE3" w:rsidP="00047A0B">
            <w:pPr>
              <w:spacing w:line="276" w:lineRule="auto"/>
              <w:ind w:right="170"/>
              <w:jc w:val="right"/>
              <w:rPr>
                <w:sz w:val="16"/>
                <w:szCs w:val="16"/>
              </w:rPr>
            </w:pPr>
            <w:r w:rsidRPr="0049041F">
              <w:rPr>
                <w:sz w:val="16"/>
                <w:szCs w:val="16"/>
              </w:rPr>
              <w:t>59</w:t>
            </w:r>
            <w:r w:rsidR="00047A0B">
              <w:rPr>
                <w:sz w:val="16"/>
                <w:szCs w:val="16"/>
              </w:rPr>
              <w:t>.</w:t>
            </w:r>
            <w:r w:rsidRPr="0049041F">
              <w:rPr>
                <w:sz w:val="16"/>
                <w:szCs w:val="16"/>
              </w:rPr>
              <w:t>35</w:t>
            </w:r>
          </w:p>
        </w:tc>
        <w:tc>
          <w:tcPr>
            <w:tcW w:w="1226" w:type="dxa"/>
            <w:tcBorders>
              <w:top w:val="nil"/>
              <w:left w:val="nil"/>
              <w:bottom w:val="nil"/>
              <w:right w:val="nil"/>
            </w:tcBorders>
            <w:shd w:val="clear" w:color="auto" w:fill="auto"/>
            <w:vAlign w:val="bottom"/>
          </w:tcPr>
          <w:p w:rsidR="00071E91" w:rsidRPr="0049041F" w:rsidRDefault="00CA4CE3" w:rsidP="00047A0B">
            <w:pPr>
              <w:spacing w:line="276" w:lineRule="auto"/>
              <w:ind w:right="170"/>
              <w:jc w:val="right"/>
              <w:rPr>
                <w:sz w:val="16"/>
                <w:szCs w:val="16"/>
              </w:rPr>
            </w:pPr>
            <w:r w:rsidRPr="0049041F">
              <w:rPr>
                <w:sz w:val="16"/>
                <w:szCs w:val="16"/>
              </w:rPr>
              <w:t>23</w:t>
            </w:r>
            <w:r w:rsidR="00047A0B">
              <w:rPr>
                <w:sz w:val="16"/>
                <w:szCs w:val="16"/>
              </w:rPr>
              <w:t>.</w:t>
            </w:r>
            <w:r w:rsidRPr="0049041F">
              <w:rPr>
                <w:sz w:val="16"/>
                <w:szCs w:val="16"/>
              </w:rPr>
              <w:t>80</w:t>
            </w:r>
          </w:p>
        </w:tc>
        <w:tc>
          <w:tcPr>
            <w:tcW w:w="1180" w:type="dxa"/>
            <w:tcBorders>
              <w:top w:val="nil"/>
              <w:left w:val="nil"/>
              <w:bottom w:val="nil"/>
              <w:right w:val="nil"/>
            </w:tcBorders>
            <w:shd w:val="clear" w:color="auto" w:fill="auto"/>
            <w:vAlign w:val="bottom"/>
          </w:tcPr>
          <w:p w:rsidR="00071E91" w:rsidRPr="0049041F" w:rsidRDefault="00CA4CE3" w:rsidP="00047A0B">
            <w:pPr>
              <w:spacing w:line="276" w:lineRule="auto"/>
              <w:ind w:right="170"/>
              <w:jc w:val="right"/>
              <w:rPr>
                <w:sz w:val="16"/>
                <w:szCs w:val="16"/>
              </w:rPr>
            </w:pPr>
            <w:r w:rsidRPr="0049041F">
              <w:rPr>
                <w:sz w:val="16"/>
                <w:szCs w:val="16"/>
              </w:rPr>
              <w:t>312</w:t>
            </w:r>
            <w:r w:rsidR="00047A0B">
              <w:rPr>
                <w:sz w:val="16"/>
                <w:szCs w:val="16"/>
              </w:rPr>
              <w:t>.</w:t>
            </w:r>
            <w:r w:rsidRPr="0049041F">
              <w:rPr>
                <w:sz w:val="16"/>
                <w:szCs w:val="16"/>
              </w:rPr>
              <w:t>91</w:t>
            </w:r>
          </w:p>
        </w:tc>
        <w:tc>
          <w:tcPr>
            <w:tcW w:w="1275" w:type="dxa"/>
            <w:tcBorders>
              <w:top w:val="nil"/>
              <w:left w:val="nil"/>
              <w:bottom w:val="nil"/>
              <w:right w:val="nil"/>
            </w:tcBorders>
            <w:shd w:val="clear" w:color="auto" w:fill="auto"/>
            <w:vAlign w:val="bottom"/>
          </w:tcPr>
          <w:p w:rsidR="00071E91" w:rsidRPr="0049041F" w:rsidRDefault="00CA4CE3"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00</w:t>
            </w:r>
          </w:p>
        </w:tc>
        <w:tc>
          <w:tcPr>
            <w:tcW w:w="1210" w:type="dxa"/>
            <w:tcBorders>
              <w:top w:val="nil"/>
              <w:left w:val="nil"/>
              <w:bottom w:val="nil"/>
              <w:right w:val="nil"/>
            </w:tcBorders>
            <w:vAlign w:val="bottom"/>
          </w:tcPr>
          <w:p w:rsidR="00071E91" w:rsidRPr="0049041F" w:rsidRDefault="00CA4CE3" w:rsidP="00047A0B">
            <w:pPr>
              <w:spacing w:line="276" w:lineRule="auto"/>
              <w:ind w:right="170"/>
              <w:jc w:val="right"/>
              <w:rPr>
                <w:sz w:val="16"/>
                <w:szCs w:val="16"/>
              </w:rPr>
            </w:pPr>
            <w:r w:rsidRPr="0049041F">
              <w:rPr>
                <w:sz w:val="16"/>
                <w:szCs w:val="16"/>
              </w:rPr>
              <w:t>2</w:t>
            </w:r>
            <w:r w:rsidR="00047A0B">
              <w:rPr>
                <w:sz w:val="16"/>
                <w:szCs w:val="16"/>
              </w:rPr>
              <w:t>.</w:t>
            </w:r>
            <w:r w:rsidRPr="0049041F">
              <w:rPr>
                <w:sz w:val="16"/>
                <w:szCs w:val="16"/>
              </w:rPr>
              <w:t>93</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071E91" w:rsidRPr="0049041F" w:rsidRDefault="00A41200" w:rsidP="00047A0B">
            <w:pPr>
              <w:spacing w:line="276" w:lineRule="auto"/>
              <w:ind w:left="170"/>
              <w:rPr>
                <w:sz w:val="16"/>
                <w:szCs w:val="16"/>
              </w:rPr>
            </w:pPr>
            <w:r w:rsidRPr="0049041F">
              <w:rPr>
                <w:sz w:val="16"/>
                <w:szCs w:val="16"/>
              </w:rPr>
              <w:t>Transport and</w:t>
            </w:r>
            <w:r w:rsidR="00071E91" w:rsidRPr="0049041F">
              <w:rPr>
                <w:sz w:val="16"/>
                <w:szCs w:val="16"/>
              </w:rPr>
              <w:t xml:space="preserve"> </w:t>
            </w:r>
            <w:r w:rsidRPr="0049041F">
              <w:rPr>
                <w:sz w:val="16"/>
                <w:szCs w:val="16"/>
              </w:rPr>
              <w:t>storage</w:t>
            </w:r>
          </w:p>
        </w:tc>
        <w:tc>
          <w:tcPr>
            <w:tcW w:w="1351" w:type="dxa"/>
            <w:tcBorders>
              <w:top w:val="nil"/>
              <w:left w:val="single" w:sz="4" w:space="0" w:color="auto"/>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3</w:t>
            </w:r>
            <w:r w:rsidR="00047A0B">
              <w:rPr>
                <w:sz w:val="16"/>
                <w:szCs w:val="16"/>
              </w:rPr>
              <w:t>.</w:t>
            </w:r>
            <w:r w:rsidRPr="0049041F">
              <w:rPr>
                <w:sz w:val="16"/>
                <w:szCs w:val="16"/>
              </w:rPr>
              <w:t>38</w:t>
            </w:r>
          </w:p>
        </w:tc>
        <w:tc>
          <w:tcPr>
            <w:tcW w:w="1226"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40</w:t>
            </w:r>
          </w:p>
        </w:tc>
        <w:tc>
          <w:tcPr>
            <w:tcW w:w="1180"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39</w:t>
            </w:r>
          </w:p>
        </w:tc>
        <w:tc>
          <w:tcPr>
            <w:tcW w:w="1275"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01</w:t>
            </w:r>
          </w:p>
        </w:tc>
        <w:tc>
          <w:tcPr>
            <w:tcW w:w="1210" w:type="dxa"/>
            <w:tcBorders>
              <w:top w:val="nil"/>
              <w:left w:val="nil"/>
              <w:bottom w:val="nil"/>
              <w:right w:val="nil"/>
            </w:tcBorders>
            <w:vAlign w:val="bottom"/>
          </w:tcPr>
          <w:p w:rsidR="00071E91" w:rsidRPr="0049041F" w:rsidRDefault="002F31A0" w:rsidP="00047A0B">
            <w:pPr>
              <w:spacing w:line="276" w:lineRule="auto"/>
              <w:ind w:right="170"/>
              <w:jc w:val="right"/>
              <w:rPr>
                <w:sz w:val="16"/>
                <w:szCs w:val="16"/>
              </w:rPr>
            </w:pPr>
            <w:r w:rsidRPr="0049041F">
              <w:rPr>
                <w:sz w:val="16"/>
                <w:szCs w:val="16"/>
              </w:rPr>
              <w:t>2</w:t>
            </w:r>
            <w:r w:rsidR="00047A0B">
              <w:rPr>
                <w:sz w:val="16"/>
                <w:szCs w:val="16"/>
              </w:rPr>
              <w:t>.</w:t>
            </w:r>
            <w:r w:rsidRPr="0049041F">
              <w:rPr>
                <w:sz w:val="16"/>
                <w:szCs w:val="16"/>
              </w:rPr>
              <w:t>07</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071E91" w:rsidRPr="0049041F" w:rsidRDefault="00A41200" w:rsidP="00047A0B">
            <w:pPr>
              <w:spacing w:line="276" w:lineRule="auto"/>
              <w:ind w:left="170"/>
              <w:rPr>
                <w:sz w:val="16"/>
                <w:szCs w:val="16"/>
              </w:rPr>
            </w:pPr>
            <w:r w:rsidRPr="0049041F">
              <w:rPr>
                <w:sz w:val="16"/>
                <w:szCs w:val="16"/>
              </w:rPr>
              <w:t>Other sections</w:t>
            </w:r>
            <w:r w:rsidR="00592C9A" w:rsidRPr="0049041F">
              <w:rPr>
                <w:sz w:val="16"/>
                <w:szCs w:val="16"/>
              </w:rPr>
              <w:t>²</w:t>
            </w:r>
            <w:r w:rsidR="00592C9A" w:rsidRPr="0049041F">
              <w:rPr>
                <w:rFonts w:ascii="Cambria Math" w:hAnsi="Cambria Math" w:cs="Cambria Math"/>
                <w:sz w:val="16"/>
                <w:szCs w:val="16"/>
              </w:rPr>
              <w:t>⁾</w:t>
            </w:r>
            <w:r w:rsidR="00071E91" w:rsidRPr="0049041F">
              <w:rPr>
                <w:sz w:val="16"/>
                <w:szCs w:val="16"/>
              </w:rPr>
              <w:t xml:space="preserve"> </w:t>
            </w:r>
          </w:p>
        </w:tc>
        <w:tc>
          <w:tcPr>
            <w:tcW w:w="1351" w:type="dxa"/>
            <w:tcBorders>
              <w:top w:val="nil"/>
              <w:left w:val="single" w:sz="4" w:space="0" w:color="auto"/>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8</w:t>
            </w:r>
            <w:r w:rsidR="00047A0B">
              <w:rPr>
                <w:sz w:val="16"/>
                <w:szCs w:val="16"/>
              </w:rPr>
              <w:t>.</w:t>
            </w:r>
            <w:r w:rsidRPr="0049041F">
              <w:rPr>
                <w:sz w:val="16"/>
                <w:szCs w:val="16"/>
              </w:rPr>
              <w:t>31</w:t>
            </w:r>
          </w:p>
        </w:tc>
        <w:tc>
          <w:tcPr>
            <w:tcW w:w="1226"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2</w:t>
            </w:r>
            <w:r w:rsidR="00047A0B">
              <w:rPr>
                <w:sz w:val="16"/>
                <w:szCs w:val="16"/>
              </w:rPr>
              <w:t>.</w:t>
            </w:r>
            <w:r w:rsidRPr="0049041F">
              <w:rPr>
                <w:sz w:val="16"/>
                <w:szCs w:val="16"/>
              </w:rPr>
              <w:t>03</w:t>
            </w:r>
          </w:p>
        </w:tc>
        <w:tc>
          <w:tcPr>
            <w:tcW w:w="1180"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1</w:t>
            </w:r>
            <w:r w:rsidR="00047A0B">
              <w:rPr>
                <w:sz w:val="16"/>
                <w:szCs w:val="16"/>
              </w:rPr>
              <w:t>.</w:t>
            </w:r>
            <w:r w:rsidRPr="0049041F">
              <w:rPr>
                <w:sz w:val="16"/>
                <w:szCs w:val="16"/>
              </w:rPr>
              <w:t>26</w:t>
            </w:r>
          </w:p>
        </w:tc>
        <w:tc>
          <w:tcPr>
            <w:tcW w:w="1275"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sz w:val="16"/>
                <w:szCs w:val="16"/>
              </w:rPr>
            </w:pPr>
            <w:r w:rsidRPr="0049041F">
              <w:rPr>
                <w:sz w:val="16"/>
                <w:szCs w:val="16"/>
              </w:rPr>
              <w:t>4</w:t>
            </w:r>
            <w:r w:rsidR="00047A0B">
              <w:rPr>
                <w:sz w:val="16"/>
                <w:szCs w:val="16"/>
              </w:rPr>
              <w:t>.</w:t>
            </w:r>
            <w:r w:rsidRPr="0049041F">
              <w:rPr>
                <w:sz w:val="16"/>
                <w:szCs w:val="16"/>
              </w:rPr>
              <w:t>78</w:t>
            </w:r>
          </w:p>
        </w:tc>
        <w:tc>
          <w:tcPr>
            <w:tcW w:w="1210" w:type="dxa"/>
            <w:tcBorders>
              <w:top w:val="nil"/>
              <w:left w:val="nil"/>
              <w:bottom w:val="nil"/>
              <w:right w:val="nil"/>
            </w:tcBorders>
            <w:vAlign w:val="bottom"/>
          </w:tcPr>
          <w:p w:rsidR="00071E91" w:rsidRPr="0049041F" w:rsidRDefault="002F31A0" w:rsidP="00047A0B">
            <w:pPr>
              <w:spacing w:line="276" w:lineRule="auto"/>
              <w:ind w:right="170"/>
              <w:jc w:val="right"/>
              <w:rPr>
                <w:sz w:val="16"/>
                <w:szCs w:val="16"/>
              </w:rPr>
            </w:pPr>
            <w:r w:rsidRPr="0049041F">
              <w:rPr>
                <w:sz w:val="16"/>
                <w:szCs w:val="16"/>
              </w:rPr>
              <w:t>6</w:t>
            </w:r>
            <w:r w:rsidR="00047A0B">
              <w:rPr>
                <w:sz w:val="16"/>
                <w:szCs w:val="16"/>
              </w:rPr>
              <w:t>.</w:t>
            </w:r>
            <w:r w:rsidRPr="0049041F">
              <w:rPr>
                <w:sz w:val="16"/>
                <w:szCs w:val="16"/>
              </w:rPr>
              <w:t>21</w:t>
            </w:r>
          </w:p>
        </w:tc>
      </w:tr>
      <w:tr w:rsidR="00254717" w:rsidRPr="0049041F" w:rsidTr="00725E63">
        <w:trPr>
          <w:trHeight w:val="20"/>
          <w:jc w:val="center"/>
        </w:trPr>
        <w:tc>
          <w:tcPr>
            <w:tcW w:w="4067" w:type="dxa"/>
            <w:tcBorders>
              <w:top w:val="nil"/>
              <w:left w:val="nil"/>
              <w:bottom w:val="nil"/>
              <w:right w:val="single" w:sz="4" w:space="0" w:color="auto"/>
            </w:tcBorders>
            <w:shd w:val="clear" w:color="auto" w:fill="auto"/>
          </w:tcPr>
          <w:p w:rsidR="00071E91" w:rsidRPr="0049041F" w:rsidRDefault="00B32073" w:rsidP="00B32073">
            <w:pPr>
              <w:spacing w:line="276" w:lineRule="auto"/>
              <w:rPr>
                <w:b/>
                <w:sz w:val="16"/>
                <w:szCs w:val="16"/>
              </w:rPr>
            </w:pPr>
            <w:r>
              <w:rPr>
                <w:b/>
                <w:sz w:val="16"/>
                <w:szCs w:val="16"/>
              </w:rPr>
              <w:t>T</w:t>
            </w:r>
            <w:r w:rsidRPr="0049041F">
              <w:rPr>
                <w:b/>
                <w:sz w:val="16"/>
                <w:szCs w:val="16"/>
              </w:rPr>
              <w:t xml:space="preserve">otal </w:t>
            </w:r>
            <w:r w:rsidR="00254717" w:rsidRPr="0049041F">
              <w:rPr>
                <w:b/>
                <w:sz w:val="16"/>
                <w:szCs w:val="16"/>
              </w:rPr>
              <w:t>households</w:t>
            </w:r>
            <w:r w:rsidR="00E468B9" w:rsidRPr="0049041F">
              <w:rPr>
                <w:b/>
                <w:sz w:val="16"/>
                <w:szCs w:val="16"/>
              </w:rPr>
              <w:t xml:space="preserve"> </w:t>
            </w:r>
          </w:p>
        </w:tc>
        <w:tc>
          <w:tcPr>
            <w:tcW w:w="1351" w:type="dxa"/>
            <w:tcBorders>
              <w:top w:val="nil"/>
              <w:left w:val="single" w:sz="4" w:space="0" w:color="auto"/>
              <w:bottom w:val="nil"/>
              <w:right w:val="nil"/>
            </w:tcBorders>
            <w:shd w:val="clear" w:color="auto" w:fill="auto"/>
            <w:vAlign w:val="bottom"/>
          </w:tcPr>
          <w:p w:rsidR="00071E91" w:rsidRPr="0049041F" w:rsidRDefault="002F31A0" w:rsidP="00047A0B">
            <w:pPr>
              <w:spacing w:line="276" w:lineRule="auto"/>
              <w:ind w:right="170"/>
              <w:jc w:val="right"/>
              <w:rPr>
                <w:b/>
                <w:sz w:val="16"/>
                <w:szCs w:val="16"/>
              </w:rPr>
            </w:pPr>
            <w:r w:rsidRPr="0049041F">
              <w:rPr>
                <w:b/>
                <w:sz w:val="16"/>
                <w:szCs w:val="16"/>
              </w:rPr>
              <w:t>23</w:t>
            </w:r>
            <w:r w:rsidR="00047A0B">
              <w:rPr>
                <w:b/>
                <w:sz w:val="16"/>
                <w:szCs w:val="16"/>
              </w:rPr>
              <w:t>.</w:t>
            </w:r>
            <w:r w:rsidRPr="0049041F">
              <w:rPr>
                <w:b/>
                <w:sz w:val="16"/>
                <w:szCs w:val="16"/>
              </w:rPr>
              <w:t>08</w:t>
            </w:r>
          </w:p>
        </w:tc>
        <w:tc>
          <w:tcPr>
            <w:tcW w:w="1226"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b/>
                <w:sz w:val="16"/>
                <w:szCs w:val="16"/>
              </w:rPr>
            </w:pPr>
            <w:r w:rsidRPr="0049041F">
              <w:rPr>
                <w:b/>
                <w:sz w:val="16"/>
                <w:szCs w:val="16"/>
              </w:rPr>
              <w:t>57</w:t>
            </w:r>
            <w:r w:rsidR="00047A0B">
              <w:rPr>
                <w:b/>
                <w:sz w:val="16"/>
                <w:szCs w:val="16"/>
              </w:rPr>
              <w:t>.</w:t>
            </w:r>
            <w:r w:rsidRPr="0049041F">
              <w:rPr>
                <w:b/>
                <w:sz w:val="16"/>
                <w:szCs w:val="16"/>
              </w:rPr>
              <w:t>96</w:t>
            </w:r>
          </w:p>
        </w:tc>
        <w:tc>
          <w:tcPr>
            <w:tcW w:w="1180"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b/>
                <w:sz w:val="16"/>
                <w:szCs w:val="16"/>
              </w:rPr>
            </w:pPr>
            <w:r w:rsidRPr="0049041F">
              <w:rPr>
                <w:b/>
                <w:sz w:val="16"/>
                <w:szCs w:val="16"/>
              </w:rPr>
              <w:t>4</w:t>
            </w:r>
            <w:r w:rsidR="00047A0B">
              <w:rPr>
                <w:b/>
                <w:sz w:val="16"/>
                <w:szCs w:val="16"/>
              </w:rPr>
              <w:t>.</w:t>
            </w:r>
            <w:r w:rsidRPr="0049041F">
              <w:rPr>
                <w:b/>
                <w:sz w:val="16"/>
                <w:szCs w:val="16"/>
              </w:rPr>
              <w:t>30</w:t>
            </w:r>
          </w:p>
        </w:tc>
        <w:tc>
          <w:tcPr>
            <w:tcW w:w="1275" w:type="dxa"/>
            <w:tcBorders>
              <w:top w:val="nil"/>
              <w:left w:val="nil"/>
              <w:bottom w:val="nil"/>
              <w:right w:val="nil"/>
            </w:tcBorders>
            <w:shd w:val="clear" w:color="auto" w:fill="auto"/>
            <w:vAlign w:val="bottom"/>
          </w:tcPr>
          <w:p w:rsidR="00071E91" w:rsidRPr="0049041F" w:rsidRDefault="002F31A0" w:rsidP="00047A0B">
            <w:pPr>
              <w:spacing w:line="276" w:lineRule="auto"/>
              <w:ind w:right="170"/>
              <w:jc w:val="right"/>
              <w:rPr>
                <w:b/>
                <w:sz w:val="16"/>
                <w:szCs w:val="16"/>
              </w:rPr>
            </w:pPr>
            <w:r w:rsidRPr="0049041F">
              <w:rPr>
                <w:b/>
                <w:sz w:val="16"/>
                <w:szCs w:val="16"/>
              </w:rPr>
              <w:t>48</w:t>
            </w:r>
            <w:r w:rsidR="00047A0B">
              <w:rPr>
                <w:b/>
                <w:sz w:val="16"/>
                <w:szCs w:val="16"/>
              </w:rPr>
              <w:t>.</w:t>
            </w:r>
            <w:r w:rsidRPr="0049041F">
              <w:rPr>
                <w:b/>
                <w:sz w:val="16"/>
                <w:szCs w:val="16"/>
              </w:rPr>
              <w:t>80</w:t>
            </w:r>
          </w:p>
        </w:tc>
        <w:tc>
          <w:tcPr>
            <w:tcW w:w="1210" w:type="dxa"/>
            <w:tcBorders>
              <w:top w:val="nil"/>
              <w:left w:val="nil"/>
              <w:bottom w:val="nil"/>
              <w:right w:val="nil"/>
            </w:tcBorders>
            <w:vAlign w:val="bottom"/>
          </w:tcPr>
          <w:p w:rsidR="00071E91" w:rsidRPr="0049041F" w:rsidRDefault="002F31A0" w:rsidP="00047A0B">
            <w:pPr>
              <w:spacing w:line="276" w:lineRule="auto"/>
              <w:ind w:right="170"/>
              <w:jc w:val="right"/>
              <w:rPr>
                <w:b/>
                <w:sz w:val="16"/>
                <w:szCs w:val="16"/>
              </w:rPr>
            </w:pPr>
            <w:r w:rsidRPr="0049041F">
              <w:rPr>
                <w:b/>
                <w:sz w:val="16"/>
                <w:szCs w:val="16"/>
              </w:rPr>
              <w:t>201</w:t>
            </w:r>
            <w:r w:rsidR="00047A0B">
              <w:rPr>
                <w:b/>
                <w:sz w:val="16"/>
                <w:szCs w:val="16"/>
              </w:rPr>
              <w:t>.</w:t>
            </w:r>
            <w:r w:rsidRPr="0049041F">
              <w:rPr>
                <w:b/>
                <w:sz w:val="16"/>
                <w:szCs w:val="16"/>
              </w:rPr>
              <w:t>77</w:t>
            </w:r>
          </w:p>
        </w:tc>
      </w:tr>
    </w:tbl>
    <w:p w:rsidR="00725E63" w:rsidRPr="0049041F" w:rsidRDefault="00725E63" w:rsidP="006442D1">
      <w:pPr>
        <w:tabs>
          <w:tab w:val="left" w:pos="9990"/>
        </w:tabs>
        <w:ind w:left="113" w:hanging="113"/>
        <w:rPr>
          <w:sz w:val="14"/>
          <w:szCs w:val="14"/>
        </w:rPr>
      </w:pPr>
    </w:p>
    <w:p w:rsidR="00725E63" w:rsidRPr="0049041F" w:rsidRDefault="00725E63" w:rsidP="006442D1">
      <w:pPr>
        <w:tabs>
          <w:tab w:val="left" w:pos="9990"/>
        </w:tabs>
        <w:ind w:left="113" w:hanging="113"/>
        <w:rPr>
          <w:sz w:val="14"/>
          <w:szCs w:val="14"/>
        </w:rPr>
      </w:pPr>
      <w:r w:rsidRPr="0049041F">
        <w:rPr>
          <w:noProof/>
          <w:sz w:val="14"/>
          <w:szCs w:val="14"/>
          <w:lang w:val="en-US"/>
        </w:rPr>
        <mc:AlternateContent>
          <mc:Choice Requires="wps">
            <w:drawing>
              <wp:anchor distT="0" distB="0" distL="114300" distR="114300" simplePos="0" relativeHeight="251659264" behindDoc="0" locked="0" layoutInCell="1" allowOverlap="1" wp14:anchorId="051DA877" wp14:editId="5DD49FFD">
                <wp:simplePos x="0" y="0"/>
                <wp:positionH relativeFrom="column">
                  <wp:posOffset>14605</wp:posOffset>
                </wp:positionH>
                <wp:positionV relativeFrom="paragraph">
                  <wp:posOffset>39370</wp:posOffset>
                </wp:positionV>
                <wp:extent cx="10541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05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1pt" to="8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" strokecolor="black [3213]" strokeweight=".25pt"/>
            </w:pict>
          </mc:Fallback>
        </mc:AlternateContent>
      </w:r>
    </w:p>
    <w:p w:rsidR="006442D1" w:rsidRPr="00702633" w:rsidRDefault="00D853A4" w:rsidP="006442D1">
      <w:pPr>
        <w:tabs>
          <w:tab w:val="left" w:pos="9990"/>
        </w:tabs>
        <w:ind w:left="113" w:hanging="113"/>
        <w:rPr>
          <w:sz w:val="14"/>
          <w:szCs w:val="14"/>
        </w:rPr>
      </w:pPr>
      <w:r w:rsidRPr="00702633">
        <w:rPr>
          <w:sz w:val="14"/>
          <w:szCs w:val="14"/>
        </w:rPr>
        <w:t>¹</w:t>
      </w:r>
      <w:r w:rsidRPr="00702633">
        <w:rPr>
          <w:rFonts w:ascii="Cambria Math" w:hAnsi="Cambria Math" w:cs="Cambria Math"/>
          <w:sz w:val="14"/>
          <w:szCs w:val="14"/>
        </w:rPr>
        <w:t>⁾</w:t>
      </w:r>
      <w:r w:rsidRPr="00702633">
        <w:rPr>
          <w:sz w:val="14"/>
          <w:szCs w:val="14"/>
        </w:rPr>
        <w:t xml:space="preserve"> </w:t>
      </w:r>
      <w:r w:rsidR="006442D1" w:rsidRPr="00702633">
        <w:rPr>
          <w:sz w:val="14"/>
          <w:szCs w:val="14"/>
        </w:rPr>
        <w:t>Source: Serbian Environmental Protection Agency</w:t>
      </w:r>
    </w:p>
    <w:p w:rsidR="007848D2" w:rsidRPr="00702633" w:rsidRDefault="00592C9A" w:rsidP="006442D1">
      <w:pPr>
        <w:tabs>
          <w:tab w:val="left" w:pos="9990"/>
        </w:tabs>
        <w:ind w:left="113" w:hanging="113"/>
        <w:rPr>
          <w:sz w:val="14"/>
          <w:szCs w:val="14"/>
        </w:rPr>
      </w:pPr>
      <w:r w:rsidRPr="00702633">
        <w:rPr>
          <w:sz w:val="14"/>
          <w:szCs w:val="14"/>
        </w:rPr>
        <w:t>²</w:t>
      </w:r>
      <w:r w:rsidRPr="00702633">
        <w:rPr>
          <w:rFonts w:ascii="Cambria Math" w:hAnsi="Cambria Math" w:cs="Cambria Math"/>
          <w:sz w:val="14"/>
          <w:szCs w:val="14"/>
        </w:rPr>
        <w:t>⁾</w:t>
      </w:r>
      <w:r w:rsidRPr="00702633">
        <w:rPr>
          <w:sz w:val="14"/>
          <w:szCs w:val="14"/>
        </w:rPr>
        <w:t xml:space="preserve"> </w:t>
      </w:r>
      <w:r w:rsidR="007848D2" w:rsidRPr="00702633">
        <w:rPr>
          <w:sz w:val="14"/>
          <w:szCs w:val="14"/>
        </w:rPr>
        <w:t>Shown is a summary of data for the rest of the sect</w:t>
      </w:r>
      <w:r w:rsidR="00872DF7" w:rsidRPr="00702633">
        <w:rPr>
          <w:sz w:val="14"/>
          <w:szCs w:val="14"/>
        </w:rPr>
        <w:t>ion</w:t>
      </w:r>
      <w:r w:rsidR="007848D2" w:rsidRPr="00702633">
        <w:rPr>
          <w:sz w:val="14"/>
          <w:szCs w:val="14"/>
        </w:rPr>
        <w:t>s of classification of activities: E,F,G,I,J,K,L,M,N,O,P,Q,R,S,T,U</w:t>
      </w:r>
      <w:r w:rsidR="00E468B9" w:rsidRPr="00702633">
        <w:rPr>
          <w:sz w:val="14"/>
          <w:szCs w:val="14"/>
        </w:rPr>
        <w:t>.</w:t>
      </w:r>
    </w:p>
    <w:p w:rsidR="006519DA" w:rsidRPr="0049041F" w:rsidRDefault="006519DA" w:rsidP="006519DA">
      <w:pPr>
        <w:ind w:left="90"/>
        <w:jc w:val="center"/>
        <w:rPr>
          <w:b/>
          <w:bCs/>
        </w:rPr>
      </w:pPr>
    </w:p>
    <w:p w:rsidR="00725E63" w:rsidRDefault="00725E63" w:rsidP="006605B8">
      <w:pPr>
        <w:ind w:left="90"/>
        <w:jc w:val="center"/>
        <w:rPr>
          <w:b/>
          <w:bCs/>
        </w:rPr>
      </w:pPr>
    </w:p>
    <w:p w:rsidR="00047A0B" w:rsidRPr="0049041F" w:rsidRDefault="00047A0B" w:rsidP="006605B8">
      <w:pPr>
        <w:ind w:left="90"/>
        <w:jc w:val="center"/>
        <w:rPr>
          <w:b/>
          <w:bCs/>
        </w:rPr>
      </w:pPr>
    </w:p>
    <w:p w:rsidR="00725E63" w:rsidRPr="0049041F" w:rsidRDefault="00725E63" w:rsidP="006605B8">
      <w:pPr>
        <w:ind w:left="90"/>
        <w:jc w:val="center"/>
        <w:rPr>
          <w:b/>
          <w:bCs/>
        </w:rPr>
      </w:pPr>
    </w:p>
    <w:p w:rsidR="006605B8" w:rsidRPr="0049041F" w:rsidRDefault="00725E63" w:rsidP="00702633">
      <w:pPr>
        <w:jc w:val="center"/>
        <w:rPr>
          <w:b/>
          <w:bCs/>
        </w:rPr>
      </w:pPr>
      <w:r w:rsidRPr="0049041F">
        <w:rPr>
          <w:b/>
          <w:bCs/>
        </w:rPr>
        <w:t xml:space="preserve">2. </w:t>
      </w:r>
      <w:r w:rsidR="00872DF7" w:rsidRPr="0049041F">
        <w:rPr>
          <w:b/>
          <w:bCs/>
        </w:rPr>
        <w:t>Air emission</w:t>
      </w:r>
      <w:r w:rsidR="00B04842">
        <w:rPr>
          <w:b/>
          <w:bCs/>
        </w:rPr>
        <w:t>s</w:t>
      </w:r>
      <w:r w:rsidR="00872DF7" w:rsidRPr="0049041F">
        <w:rPr>
          <w:b/>
          <w:bCs/>
        </w:rPr>
        <w:t xml:space="preserve"> of greenhouse gases, Republic of Serbia, 2013</w:t>
      </w:r>
      <w:r w:rsidR="006605B8" w:rsidRPr="0049041F">
        <w:rPr>
          <w:b/>
          <w:bCs/>
        </w:rPr>
        <w:t>¹</w:t>
      </w:r>
      <w:r w:rsidRPr="0049041F">
        <w:rPr>
          <w:b/>
          <w:bCs/>
          <w:vertAlign w:val="superscript"/>
        </w:rPr>
        <w:t>)</w:t>
      </w:r>
    </w:p>
    <w:p w:rsidR="006605B8" w:rsidRPr="0049041F" w:rsidRDefault="006605B8" w:rsidP="006605B8">
      <w:pPr>
        <w:ind w:left="90"/>
        <w:jc w:val="center"/>
        <w:rPr>
          <w:b/>
          <w:bCs/>
        </w:rPr>
      </w:pPr>
    </w:p>
    <w:p w:rsidR="00AE26C6" w:rsidRPr="0049041F" w:rsidRDefault="00872DF7" w:rsidP="00AE26C6">
      <w:pPr>
        <w:rPr>
          <w:sz w:val="18"/>
          <w:szCs w:val="18"/>
        </w:rPr>
      </w:pPr>
      <w:r w:rsidRPr="0049041F">
        <w:rPr>
          <w:b/>
          <w:sz w:val="18"/>
          <w:szCs w:val="18"/>
        </w:rPr>
        <w:t>Republic of Serbia</w:t>
      </w:r>
      <w:r w:rsidR="00AE26C6" w:rsidRPr="0049041F">
        <w:rPr>
          <w:b/>
          <w:sz w:val="18"/>
          <w:szCs w:val="18"/>
        </w:rPr>
        <w:tab/>
      </w:r>
      <w:r w:rsidR="00AE26C6" w:rsidRPr="0049041F">
        <w:rPr>
          <w:b/>
          <w:sz w:val="18"/>
          <w:szCs w:val="18"/>
        </w:rPr>
        <w:tab/>
      </w:r>
      <w:r w:rsidR="00AE26C6" w:rsidRPr="0049041F">
        <w:rPr>
          <w:b/>
          <w:sz w:val="18"/>
          <w:szCs w:val="18"/>
        </w:rPr>
        <w:tab/>
      </w:r>
      <w:r w:rsidR="00AE26C6" w:rsidRPr="0049041F">
        <w:rPr>
          <w:b/>
          <w:sz w:val="18"/>
          <w:szCs w:val="18"/>
        </w:rPr>
        <w:tab/>
      </w:r>
      <w:r w:rsidR="00AE26C6" w:rsidRPr="0049041F">
        <w:rPr>
          <w:b/>
          <w:sz w:val="18"/>
          <w:szCs w:val="18"/>
        </w:rPr>
        <w:tab/>
      </w:r>
      <w:r w:rsidR="00AE26C6" w:rsidRPr="0049041F">
        <w:rPr>
          <w:b/>
          <w:sz w:val="18"/>
          <w:szCs w:val="18"/>
        </w:rPr>
        <w:tab/>
        <w:t xml:space="preserve">                                                                           </w:t>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D853A4" w:rsidRPr="0049041F">
        <w:rPr>
          <w:b/>
          <w:sz w:val="18"/>
          <w:szCs w:val="18"/>
        </w:rPr>
        <w:tab/>
      </w:r>
      <w:r w:rsidR="00AE26C6" w:rsidRPr="0049041F">
        <w:rPr>
          <w:b/>
          <w:sz w:val="18"/>
          <w:szCs w:val="18"/>
        </w:rPr>
        <w:t xml:space="preserve">                                             </w:t>
      </w:r>
      <w:r w:rsidR="00307D0B" w:rsidRPr="0049041F">
        <w:rPr>
          <w:b/>
          <w:sz w:val="18"/>
          <w:szCs w:val="18"/>
        </w:rPr>
        <w:t xml:space="preserve">    </w:t>
      </w:r>
      <w:r w:rsidR="00AE26C6" w:rsidRPr="0049041F">
        <w:rPr>
          <w:b/>
          <w:sz w:val="18"/>
          <w:szCs w:val="18"/>
        </w:rPr>
        <w:t xml:space="preserve">    </w:t>
      </w:r>
      <w:r w:rsidR="00725E63" w:rsidRPr="0049041F">
        <w:rPr>
          <w:b/>
          <w:sz w:val="18"/>
          <w:szCs w:val="18"/>
        </w:rPr>
        <w:t xml:space="preserve"> </w:t>
      </w:r>
      <w:r w:rsidR="00AE26C6" w:rsidRPr="0049041F">
        <w:rPr>
          <w:b/>
          <w:sz w:val="18"/>
          <w:szCs w:val="18"/>
        </w:rPr>
        <w:t xml:space="preserve"> </w:t>
      </w:r>
      <w:r w:rsidRPr="0049041F">
        <w:rPr>
          <w:sz w:val="18"/>
          <w:szCs w:val="18"/>
        </w:rPr>
        <w:t>thous. ton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31"/>
        <w:gridCol w:w="1339"/>
        <w:gridCol w:w="1215"/>
        <w:gridCol w:w="1170"/>
        <w:gridCol w:w="1264"/>
        <w:gridCol w:w="1200"/>
      </w:tblGrid>
      <w:tr w:rsidR="00725E63" w:rsidRPr="0049041F" w:rsidTr="00725E63">
        <w:trPr>
          <w:trHeight w:val="20"/>
          <w:jc w:val="center"/>
        </w:trPr>
        <w:tc>
          <w:tcPr>
            <w:tcW w:w="4031" w:type="dxa"/>
            <w:tcBorders>
              <w:top w:val="single" w:sz="4" w:space="0" w:color="auto"/>
              <w:left w:val="nil"/>
              <w:bottom w:val="single" w:sz="4" w:space="0" w:color="auto"/>
              <w:right w:val="single" w:sz="4" w:space="0" w:color="auto"/>
            </w:tcBorders>
            <w:shd w:val="clear" w:color="auto" w:fill="auto"/>
          </w:tcPr>
          <w:p w:rsidR="00725E63" w:rsidRPr="0049041F" w:rsidRDefault="00725E63" w:rsidP="00047A0B">
            <w:pPr>
              <w:spacing w:before="120" w:after="120" w:line="276" w:lineRule="auto"/>
              <w:jc w:val="center"/>
              <w:rPr>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725E63" w:rsidRPr="0049041F" w:rsidRDefault="00725E63" w:rsidP="00047A0B">
            <w:pPr>
              <w:spacing w:before="120" w:after="120" w:line="276" w:lineRule="auto"/>
              <w:jc w:val="center"/>
              <w:rPr>
                <w:sz w:val="16"/>
                <w:szCs w:val="16"/>
              </w:rPr>
            </w:pPr>
            <w:r w:rsidRPr="0049041F">
              <w:rPr>
                <w:sz w:val="16"/>
                <w:szCs w:val="16"/>
              </w:rPr>
              <w:t>CO</w:t>
            </w:r>
            <w:r w:rsidRPr="0049041F">
              <w:rPr>
                <w:rFonts w:ascii="Cambria Math" w:hAnsi="Cambria Math" w:cs="Cambria Math"/>
                <w:sz w:val="16"/>
                <w:szCs w:val="16"/>
              </w:rPr>
              <w:t>₂</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25E63" w:rsidRPr="0049041F" w:rsidRDefault="00725E63" w:rsidP="00047A0B">
            <w:pPr>
              <w:spacing w:before="120" w:after="120" w:line="276" w:lineRule="auto"/>
              <w:jc w:val="center"/>
              <w:rPr>
                <w:sz w:val="16"/>
                <w:szCs w:val="16"/>
              </w:rPr>
            </w:pPr>
            <w:r w:rsidRPr="0049041F">
              <w:rPr>
                <w:sz w:val="16"/>
                <w:szCs w:val="16"/>
              </w:rPr>
              <w:t>CO</w:t>
            </w:r>
            <w:r w:rsidRPr="0049041F">
              <w:rPr>
                <w:rFonts w:ascii="Cambria Math" w:hAnsi="Cambria Math" w:cs="Cambria Math"/>
                <w:sz w:val="16"/>
                <w:szCs w:val="16"/>
              </w:rPr>
              <w:t>₂</w:t>
            </w:r>
            <w:r w:rsidRPr="0049041F">
              <w:rPr>
                <w:sz w:val="16"/>
                <w:szCs w:val="16"/>
              </w:rPr>
              <w:t xml:space="preserve"> </w:t>
            </w:r>
            <w:r w:rsidR="0049041F">
              <w:rPr>
                <w:sz w:val="16"/>
                <w:szCs w:val="16"/>
              </w:rPr>
              <w:t>from biomass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25E63" w:rsidRPr="0049041F" w:rsidRDefault="00725E63" w:rsidP="00047A0B">
            <w:pPr>
              <w:spacing w:before="120" w:after="120" w:line="276" w:lineRule="auto"/>
              <w:jc w:val="center"/>
              <w:rPr>
                <w:sz w:val="16"/>
                <w:szCs w:val="16"/>
              </w:rPr>
            </w:pPr>
            <w:r w:rsidRPr="0049041F">
              <w:rPr>
                <w:sz w:val="16"/>
                <w:szCs w:val="16"/>
              </w:rPr>
              <w:t>N</w:t>
            </w:r>
            <w:r w:rsidRPr="0049041F">
              <w:rPr>
                <w:rFonts w:ascii="Cambria Math" w:hAnsi="Cambria Math" w:cs="Cambria Math"/>
                <w:sz w:val="16"/>
                <w:szCs w:val="16"/>
              </w:rPr>
              <w:t>₂</w:t>
            </w:r>
            <w:r w:rsidRPr="0049041F">
              <w:rPr>
                <w:sz w:val="16"/>
                <w:szCs w:val="16"/>
              </w:rPr>
              <w:t>O</w:t>
            </w:r>
          </w:p>
        </w:tc>
        <w:tc>
          <w:tcPr>
            <w:tcW w:w="1264" w:type="dxa"/>
            <w:tcBorders>
              <w:top w:val="single" w:sz="4" w:space="0" w:color="auto"/>
              <w:left w:val="single" w:sz="4" w:space="0" w:color="auto"/>
              <w:bottom w:val="single" w:sz="4" w:space="0" w:color="auto"/>
              <w:right w:val="nil"/>
            </w:tcBorders>
            <w:shd w:val="clear" w:color="auto" w:fill="auto"/>
            <w:vAlign w:val="center"/>
          </w:tcPr>
          <w:p w:rsidR="00725E63" w:rsidRPr="0049041F" w:rsidRDefault="00725E63" w:rsidP="00047A0B">
            <w:pPr>
              <w:spacing w:before="120" w:after="120" w:line="276" w:lineRule="auto"/>
              <w:jc w:val="center"/>
              <w:rPr>
                <w:sz w:val="16"/>
                <w:szCs w:val="16"/>
              </w:rPr>
            </w:pPr>
            <w:r w:rsidRPr="0049041F">
              <w:rPr>
                <w:sz w:val="16"/>
                <w:szCs w:val="16"/>
              </w:rPr>
              <w:t>CH</w:t>
            </w:r>
            <w:r w:rsidRPr="0049041F">
              <w:rPr>
                <w:rFonts w:ascii="Cambria Math" w:hAnsi="Cambria Math" w:cs="Cambria Math"/>
                <w:sz w:val="16"/>
                <w:szCs w:val="16"/>
              </w:rPr>
              <w:t>₄</w:t>
            </w:r>
          </w:p>
        </w:tc>
        <w:tc>
          <w:tcPr>
            <w:tcW w:w="1200" w:type="dxa"/>
            <w:tcBorders>
              <w:top w:val="single" w:sz="4" w:space="0" w:color="auto"/>
              <w:left w:val="single" w:sz="4" w:space="0" w:color="auto"/>
              <w:bottom w:val="single" w:sz="4" w:space="0" w:color="auto"/>
              <w:right w:val="nil"/>
            </w:tcBorders>
            <w:vAlign w:val="center"/>
          </w:tcPr>
          <w:p w:rsidR="00725E63" w:rsidRPr="0049041F" w:rsidRDefault="00725E63" w:rsidP="00047A0B">
            <w:pPr>
              <w:spacing w:before="120" w:after="120" w:line="276" w:lineRule="auto"/>
              <w:jc w:val="center"/>
              <w:rPr>
                <w:sz w:val="16"/>
                <w:szCs w:val="16"/>
              </w:rPr>
            </w:pPr>
            <w:r w:rsidRPr="0049041F">
              <w:rPr>
                <w:sz w:val="16"/>
                <w:szCs w:val="16"/>
              </w:rPr>
              <w:t>HFC</w:t>
            </w:r>
          </w:p>
        </w:tc>
      </w:tr>
      <w:tr w:rsidR="00725E63" w:rsidRPr="0049041F" w:rsidTr="00725E63">
        <w:trPr>
          <w:trHeight w:val="20"/>
          <w:jc w:val="center"/>
        </w:trPr>
        <w:tc>
          <w:tcPr>
            <w:tcW w:w="4031" w:type="dxa"/>
            <w:tcBorders>
              <w:top w:val="single" w:sz="4" w:space="0" w:color="auto"/>
              <w:left w:val="nil"/>
              <w:bottom w:val="nil"/>
              <w:right w:val="single" w:sz="4" w:space="0" w:color="auto"/>
            </w:tcBorders>
            <w:shd w:val="clear" w:color="auto" w:fill="auto"/>
          </w:tcPr>
          <w:p w:rsidR="00725E63" w:rsidRPr="0049041F" w:rsidRDefault="00725E63" w:rsidP="00047A0B">
            <w:pPr>
              <w:spacing w:line="276" w:lineRule="auto"/>
              <w:rPr>
                <w:b/>
                <w:sz w:val="16"/>
                <w:szCs w:val="16"/>
              </w:rPr>
            </w:pPr>
          </w:p>
        </w:tc>
        <w:tc>
          <w:tcPr>
            <w:tcW w:w="1339" w:type="dxa"/>
            <w:tcBorders>
              <w:top w:val="single" w:sz="4" w:space="0" w:color="auto"/>
              <w:left w:val="single" w:sz="4" w:space="0" w:color="auto"/>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215" w:type="dxa"/>
            <w:tcBorders>
              <w:top w:val="single" w:sz="4" w:space="0" w:color="auto"/>
              <w:left w:val="nil"/>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170" w:type="dxa"/>
            <w:tcBorders>
              <w:top w:val="single" w:sz="4" w:space="0" w:color="auto"/>
              <w:left w:val="nil"/>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264" w:type="dxa"/>
            <w:tcBorders>
              <w:top w:val="single" w:sz="4" w:space="0" w:color="auto"/>
              <w:left w:val="nil"/>
              <w:bottom w:val="nil"/>
              <w:right w:val="nil"/>
            </w:tcBorders>
            <w:shd w:val="clear" w:color="auto" w:fill="auto"/>
            <w:vAlign w:val="bottom"/>
          </w:tcPr>
          <w:p w:rsidR="00725E63" w:rsidRPr="0049041F" w:rsidRDefault="00725E63" w:rsidP="00047A0B">
            <w:pPr>
              <w:spacing w:line="276" w:lineRule="auto"/>
              <w:jc w:val="right"/>
              <w:rPr>
                <w:b/>
                <w:sz w:val="16"/>
                <w:szCs w:val="16"/>
              </w:rPr>
            </w:pPr>
          </w:p>
        </w:tc>
        <w:tc>
          <w:tcPr>
            <w:tcW w:w="1200" w:type="dxa"/>
            <w:tcBorders>
              <w:top w:val="single" w:sz="4" w:space="0" w:color="auto"/>
              <w:left w:val="nil"/>
              <w:bottom w:val="nil"/>
              <w:right w:val="nil"/>
            </w:tcBorders>
            <w:vAlign w:val="bottom"/>
          </w:tcPr>
          <w:p w:rsidR="00725E63" w:rsidRPr="0049041F" w:rsidRDefault="00725E63" w:rsidP="00047A0B">
            <w:pPr>
              <w:spacing w:line="276" w:lineRule="auto"/>
              <w:jc w:val="right"/>
              <w:rPr>
                <w:b/>
                <w:sz w:val="16"/>
                <w:szCs w:val="16"/>
              </w:rPr>
            </w:pPr>
          </w:p>
        </w:tc>
      </w:tr>
      <w:tr w:rsidR="00B32073" w:rsidRPr="0049041F" w:rsidTr="00725E63">
        <w:trPr>
          <w:trHeight w:val="20"/>
          <w:jc w:val="center"/>
        </w:trPr>
        <w:tc>
          <w:tcPr>
            <w:tcW w:w="4031" w:type="dxa"/>
            <w:tcBorders>
              <w:top w:val="nil"/>
              <w:left w:val="nil"/>
              <w:bottom w:val="nil"/>
              <w:right w:val="single" w:sz="4" w:space="0" w:color="auto"/>
            </w:tcBorders>
            <w:shd w:val="clear" w:color="auto" w:fill="auto"/>
          </w:tcPr>
          <w:p w:rsidR="00B32073" w:rsidRPr="00B32073" w:rsidRDefault="00B32073" w:rsidP="00B32073">
            <w:pPr>
              <w:spacing w:line="276" w:lineRule="auto"/>
              <w:rPr>
                <w:b/>
                <w:sz w:val="16"/>
                <w:szCs w:val="16"/>
              </w:rPr>
            </w:pPr>
            <w:r w:rsidRPr="00B32073">
              <w:rPr>
                <w:b/>
                <w:sz w:val="16"/>
                <w:szCs w:val="16"/>
              </w:rPr>
              <w:t xml:space="preserve">Total Industries and households </w:t>
            </w:r>
          </w:p>
        </w:tc>
        <w:tc>
          <w:tcPr>
            <w:tcW w:w="1339" w:type="dxa"/>
            <w:tcBorders>
              <w:top w:val="nil"/>
              <w:left w:val="single" w:sz="4" w:space="0" w:color="auto"/>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48699</w:t>
            </w:r>
            <w:r>
              <w:rPr>
                <w:b/>
                <w:sz w:val="16"/>
                <w:szCs w:val="16"/>
              </w:rPr>
              <w:t>.</w:t>
            </w:r>
            <w:r w:rsidRPr="0049041F">
              <w:rPr>
                <w:b/>
                <w:sz w:val="16"/>
                <w:szCs w:val="16"/>
              </w:rPr>
              <w:t>62</w:t>
            </w:r>
          </w:p>
        </w:tc>
        <w:tc>
          <w:tcPr>
            <w:tcW w:w="1215" w:type="dxa"/>
            <w:tcBorders>
              <w:top w:val="nil"/>
              <w:left w:val="nil"/>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4656</w:t>
            </w:r>
            <w:r>
              <w:rPr>
                <w:b/>
                <w:sz w:val="16"/>
                <w:szCs w:val="16"/>
              </w:rPr>
              <w:t>.</w:t>
            </w:r>
            <w:r w:rsidRPr="0049041F">
              <w:rPr>
                <w:b/>
                <w:sz w:val="16"/>
                <w:szCs w:val="16"/>
              </w:rPr>
              <w:t>64</w:t>
            </w:r>
          </w:p>
        </w:tc>
        <w:tc>
          <w:tcPr>
            <w:tcW w:w="1170" w:type="dxa"/>
            <w:tcBorders>
              <w:top w:val="nil"/>
              <w:left w:val="nil"/>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3</w:t>
            </w:r>
            <w:r>
              <w:rPr>
                <w:b/>
                <w:sz w:val="16"/>
                <w:szCs w:val="16"/>
              </w:rPr>
              <w:t>.</w:t>
            </w:r>
            <w:r w:rsidRPr="0049041F">
              <w:rPr>
                <w:b/>
                <w:sz w:val="16"/>
                <w:szCs w:val="16"/>
              </w:rPr>
              <w:t>04</w:t>
            </w:r>
          </w:p>
        </w:tc>
        <w:tc>
          <w:tcPr>
            <w:tcW w:w="1264" w:type="dxa"/>
            <w:tcBorders>
              <w:top w:val="nil"/>
              <w:left w:val="nil"/>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111</w:t>
            </w:r>
            <w:r>
              <w:rPr>
                <w:b/>
                <w:sz w:val="16"/>
                <w:szCs w:val="16"/>
              </w:rPr>
              <w:t>.</w:t>
            </w:r>
            <w:r w:rsidRPr="0049041F">
              <w:rPr>
                <w:b/>
                <w:sz w:val="16"/>
                <w:szCs w:val="16"/>
              </w:rPr>
              <w:t>75</w:t>
            </w:r>
          </w:p>
        </w:tc>
        <w:tc>
          <w:tcPr>
            <w:tcW w:w="1200" w:type="dxa"/>
            <w:tcBorders>
              <w:top w:val="nil"/>
              <w:left w:val="nil"/>
              <w:bottom w:val="nil"/>
              <w:right w:val="nil"/>
            </w:tcBorders>
            <w:vAlign w:val="bottom"/>
          </w:tcPr>
          <w:p w:rsidR="00B32073" w:rsidRPr="0049041F" w:rsidRDefault="00B32073" w:rsidP="00047A0B">
            <w:pPr>
              <w:spacing w:line="276" w:lineRule="auto"/>
              <w:ind w:right="170"/>
              <w:jc w:val="right"/>
              <w:rPr>
                <w:b/>
                <w:sz w:val="16"/>
                <w:szCs w:val="16"/>
              </w:rPr>
            </w:pPr>
            <w:r w:rsidRPr="0049041F">
              <w:rPr>
                <w:b/>
                <w:sz w:val="16"/>
                <w:szCs w:val="16"/>
              </w:rPr>
              <w:t>157</w:t>
            </w:r>
            <w:r>
              <w:rPr>
                <w:b/>
                <w:sz w:val="16"/>
                <w:szCs w:val="16"/>
              </w:rPr>
              <w:t>.</w:t>
            </w:r>
            <w:r w:rsidRPr="0049041F">
              <w:rPr>
                <w:b/>
                <w:sz w:val="16"/>
                <w:szCs w:val="16"/>
              </w:rPr>
              <w:t>67</w:t>
            </w:r>
          </w:p>
        </w:tc>
      </w:tr>
      <w:tr w:rsidR="00B32073" w:rsidRPr="0049041F" w:rsidTr="00725E63">
        <w:trPr>
          <w:trHeight w:val="20"/>
          <w:jc w:val="center"/>
        </w:trPr>
        <w:tc>
          <w:tcPr>
            <w:tcW w:w="4031" w:type="dxa"/>
            <w:tcBorders>
              <w:top w:val="nil"/>
              <w:left w:val="nil"/>
              <w:bottom w:val="nil"/>
              <w:right w:val="single" w:sz="4" w:space="0" w:color="auto"/>
            </w:tcBorders>
            <w:shd w:val="clear" w:color="auto" w:fill="auto"/>
          </w:tcPr>
          <w:p w:rsidR="00B32073" w:rsidRPr="00B32073" w:rsidRDefault="00B32073" w:rsidP="00B32073">
            <w:pPr>
              <w:spacing w:line="276" w:lineRule="auto"/>
              <w:rPr>
                <w:b/>
                <w:sz w:val="16"/>
                <w:szCs w:val="16"/>
              </w:rPr>
            </w:pPr>
            <w:r w:rsidRPr="00B32073">
              <w:rPr>
                <w:b/>
                <w:sz w:val="16"/>
                <w:szCs w:val="16"/>
              </w:rPr>
              <w:t xml:space="preserve">Total Industries </w:t>
            </w:r>
          </w:p>
        </w:tc>
        <w:tc>
          <w:tcPr>
            <w:tcW w:w="1339" w:type="dxa"/>
            <w:tcBorders>
              <w:top w:val="nil"/>
              <w:left w:val="single" w:sz="4" w:space="0" w:color="auto"/>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42272</w:t>
            </w:r>
            <w:r>
              <w:rPr>
                <w:b/>
                <w:sz w:val="16"/>
                <w:szCs w:val="16"/>
              </w:rPr>
              <w:t>.</w:t>
            </w:r>
            <w:r w:rsidRPr="0049041F">
              <w:rPr>
                <w:b/>
                <w:sz w:val="16"/>
                <w:szCs w:val="16"/>
              </w:rPr>
              <w:t>63</w:t>
            </w:r>
          </w:p>
        </w:tc>
        <w:tc>
          <w:tcPr>
            <w:tcW w:w="1215" w:type="dxa"/>
            <w:tcBorders>
              <w:top w:val="nil"/>
              <w:left w:val="nil"/>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4655</w:t>
            </w:r>
            <w:r>
              <w:rPr>
                <w:b/>
                <w:sz w:val="16"/>
                <w:szCs w:val="16"/>
              </w:rPr>
              <w:t>.</w:t>
            </w:r>
            <w:r w:rsidRPr="0049041F">
              <w:rPr>
                <w:b/>
                <w:sz w:val="16"/>
                <w:szCs w:val="16"/>
              </w:rPr>
              <w:t>64</w:t>
            </w:r>
          </w:p>
        </w:tc>
        <w:tc>
          <w:tcPr>
            <w:tcW w:w="1170" w:type="dxa"/>
            <w:tcBorders>
              <w:top w:val="nil"/>
              <w:left w:val="nil"/>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2</w:t>
            </w:r>
            <w:r>
              <w:rPr>
                <w:b/>
                <w:sz w:val="16"/>
                <w:szCs w:val="16"/>
              </w:rPr>
              <w:t>.</w:t>
            </w:r>
            <w:r w:rsidRPr="0049041F">
              <w:rPr>
                <w:b/>
                <w:sz w:val="16"/>
                <w:szCs w:val="16"/>
              </w:rPr>
              <w:t>66</w:t>
            </w:r>
          </w:p>
        </w:tc>
        <w:tc>
          <w:tcPr>
            <w:tcW w:w="1264" w:type="dxa"/>
            <w:tcBorders>
              <w:top w:val="nil"/>
              <w:left w:val="nil"/>
              <w:bottom w:val="nil"/>
              <w:right w:val="nil"/>
            </w:tcBorders>
            <w:shd w:val="clear" w:color="auto" w:fill="auto"/>
            <w:vAlign w:val="bottom"/>
          </w:tcPr>
          <w:p w:rsidR="00B32073" w:rsidRPr="0049041F" w:rsidRDefault="00B32073" w:rsidP="00047A0B">
            <w:pPr>
              <w:spacing w:line="276" w:lineRule="auto"/>
              <w:ind w:right="170"/>
              <w:jc w:val="right"/>
              <w:rPr>
                <w:b/>
                <w:sz w:val="16"/>
                <w:szCs w:val="16"/>
              </w:rPr>
            </w:pPr>
            <w:r w:rsidRPr="0049041F">
              <w:rPr>
                <w:b/>
                <w:sz w:val="16"/>
                <w:szCs w:val="16"/>
              </w:rPr>
              <w:t>98</w:t>
            </w:r>
            <w:r>
              <w:rPr>
                <w:b/>
                <w:sz w:val="16"/>
                <w:szCs w:val="16"/>
              </w:rPr>
              <w:t>.</w:t>
            </w:r>
            <w:r w:rsidRPr="0049041F">
              <w:rPr>
                <w:b/>
                <w:sz w:val="16"/>
                <w:szCs w:val="16"/>
              </w:rPr>
              <w:t>04</w:t>
            </w:r>
          </w:p>
        </w:tc>
        <w:tc>
          <w:tcPr>
            <w:tcW w:w="1200" w:type="dxa"/>
            <w:tcBorders>
              <w:top w:val="nil"/>
              <w:left w:val="nil"/>
              <w:bottom w:val="nil"/>
              <w:right w:val="nil"/>
            </w:tcBorders>
            <w:vAlign w:val="bottom"/>
          </w:tcPr>
          <w:p w:rsidR="00B32073" w:rsidRPr="0049041F" w:rsidRDefault="00B32073" w:rsidP="00047A0B">
            <w:pPr>
              <w:spacing w:line="276" w:lineRule="auto"/>
              <w:ind w:right="170"/>
              <w:jc w:val="right"/>
              <w:rPr>
                <w:b/>
                <w:sz w:val="16"/>
                <w:szCs w:val="16"/>
              </w:rPr>
            </w:pPr>
            <w:r w:rsidRPr="0049041F">
              <w:rPr>
                <w:b/>
                <w:sz w:val="16"/>
                <w:szCs w:val="16"/>
              </w:rPr>
              <w:t>115</w:t>
            </w:r>
            <w:r>
              <w:rPr>
                <w:b/>
                <w:sz w:val="16"/>
                <w:szCs w:val="16"/>
              </w:rPr>
              <w:t>.</w:t>
            </w:r>
            <w:r w:rsidRPr="0049041F">
              <w:rPr>
                <w:b/>
                <w:sz w:val="16"/>
                <w:szCs w:val="16"/>
              </w:rPr>
              <w:t>60</w:t>
            </w:r>
          </w:p>
        </w:tc>
      </w:tr>
      <w:tr w:rsidR="00254717" w:rsidRPr="0049041F" w:rsidTr="00725E63">
        <w:trPr>
          <w:trHeight w:val="20"/>
          <w:jc w:val="center"/>
        </w:trPr>
        <w:tc>
          <w:tcPr>
            <w:tcW w:w="4031" w:type="dxa"/>
            <w:tcBorders>
              <w:top w:val="nil"/>
              <w:left w:val="nil"/>
              <w:bottom w:val="nil"/>
              <w:right w:val="single" w:sz="4" w:space="0" w:color="auto"/>
            </w:tcBorders>
            <w:shd w:val="clear" w:color="auto" w:fill="auto"/>
          </w:tcPr>
          <w:p w:rsidR="00254717" w:rsidRPr="0049041F" w:rsidRDefault="00254717" w:rsidP="00047A0B">
            <w:pPr>
              <w:spacing w:line="276" w:lineRule="auto"/>
              <w:ind w:left="170"/>
              <w:rPr>
                <w:sz w:val="16"/>
                <w:szCs w:val="16"/>
              </w:rPr>
            </w:pPr>
            <w:r w:rsidRPr="0049041F">
              <w:rPr>
                <w:sz w:val="16"/>
                <w:szCs w:val="16"/>
              </w:rPr>
              <w:t>Agriculture, forestry and fishing</w:t>
            </w:r>
          </w:p>
        </w:tc>
        <w:tc>
          <w:tcPr>
            <w:tcW w:w="1339" w:type="dxa"/>
            <w:tcBorders>
              <w:top w:val="nil"/>
              <w:left w:val="single" w:sz="4" w:space="0" w:color="auto"/>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479</w:t>
            </w:r>
            <w:r w:rsidR="00047A0B">
              <w:rPr>
                <w:sz w:val="16"/>
                <w:szCs w:val="16"/>
              </w:rPr>
              <w:t>.</w:t>
            </w:r>
            <w:r w:rsidRPr="0049041F">
              <w:rPr>
                <w:sz w:val="16"/>
                <w:szCs w:val="16"/>
              </w:rPr>
              <w:t>17</w:t>
            </w:r>
          </w:p>
        </w:tc>
        <w:tc>
          <w:tcPr>
            <w:tcW w:w="1215"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113</w:t>
            </w:r>
            <w:r w:rsidR="00047A0B">
              <w:rPr>
                <w:sz w:val="16"/>
                <w:szCs w:val="16"/>
              </w:rPr>
              <w:t>.</w:t>
            </w:r>
            <w:r w:rsidRPr="0049041F">
              <w:rPr>
                <w:sz w:val="16"/>
                <w:szCs w:val="16"/>
              </w:rPr>
              <w:t>55</w:t>
            </w:r>
          </w:p>
        </w:tc>
        <w:tc>
          <w:tcPr>
            <w:tcW w:w="1170"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01</w:t>
            </w:r>
          </w:p>
        </w:tc>
        <w:tc>
          <w:tcPr>
            <w:tcW w:w="1264"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09</w:t>
            </w:r>
          </w:p>
        </w:tc>
        <w:tc>
          <w:tcPr>
            <w:tcW w:w="1200" w:type="dxa"/>
            <w:tcBorders>
              <w:top w:val="nil"/>
              <w:left w:val="nil"/>
              <w:bottom w:val="nil"/>
              <w:right w:val="nil"/>
            </w:tcBorders>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17</w:t>
            </w:r>
          </w:p>
        </w:tc>
      </w:tr>
      <w:tr w:rsidR="00254717" w:rsidRPr="0049041F" w:rsidTr="00725E63">
        <w:trPr>
          <w:trHeight w:val="20"/>
          <w:jc w:val="center"/>
        </w:trPr>
        <w:tc>
          <w:tcPr>
            <w:tcW w:w="4031" w:type="dxa"/>
            <w:tcBorders>
              <w:top w:val="nil"/>
              <w:left w:val="nil"/>
              <w:bottom w:val="nil"/>
              <w:right w:val="single" w:sz="4" w:space="0" w:color="auto"/>
            </w:tcBorders>
            <w:shd w:val="clear" w:color="auto" w:fill="auto"/>
          </w:tcPr>
          <w:p w:rsidR="00254717" w:rsidRPr="0049041F" w:rsidRDefault="00254717" w:rsidP="00047A0B">
            <w:pPr>
              <w:spacing w:line="276" w:lineRule="auto"/>
              <w:ind w:left="170"/>
              <w:rPr>
                <w:sz w:val="16"/>
                <w:szCs w:val="16"/>
              </w:rPr>
            </w:pPr>
            <w:r w:rsidRPr="0049041F">
              <w:rPr>
                <w:sz w:val="16"/>
                <w:szCs w:val="16"/>
              </w:rPr>
              <w:t>Mining and quarrying</w:t>
            </w:r>
          </w:p>
        </w:tc>
        <w:tc>
          <w:tcPr>
            <w:tcW w:w="1339" w:type="dxa"/>
            <w:tcBorders>
              <w:top w:val="nil"/>
              <w:left w:val="single" w:sz="4" w:space="0" w:color="auto"/>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1404</w:t>
            </w:r>
            <w:r w:rsidR="00047A0B">
              <w:rPr>
                <w:sz w:val="16"/>
                <w:szCs w:val="16"/>
              </w:rPr>
              <w:t>.</w:t>
            </w:r>
            <w:r w:rsidRPr="0049041F">
              <w:rPr>
                <w:sz w:val="16"/>
                <w:szCs w:val="16"/>
              </w:rPr>
              <w:t>73</w:t>
            </w:r>
          </w:p>
        </w:tc>
        <w:tc>
          <w:tcPr>
            <w:tcW w:w="1215"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77</w:t>
            </w:r>
            <w:r w:rsidR="00047A0B">
              <w:rPr>
                <w:sz w:val="16"/>
                <w:szCs w:val="16"/>
              </w:rPr>
              <w:t>.</w:t>
            </w:r>
            <w:r w:rsidRPr="0049041F">
              <w:rPr>
                <w:sz w:val="16"/>
                <w:szCs w:val="16"/>
              </w:rPr>
              <w:t>02</w:t>
            </w:r>
          </w:p>
        </w:tc>
        <w:tc>
          <w:tcPr>
            <w:tcW w:w="1170"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02</w:t>
            </w:r>
          </w:p>
        </w:tc>
        <w:tc>
          <w:tcPr>
            <w:tcW w:w="1264"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90</w:t>
            </w:r>
            <w:r w:rsidR="00047A0B">
              <w:rPr>
                <w:sz w:val="16"/>
                <w:szCs w:val="16"/>
              </w:rPr>
              <w:t>.</w:t>
            </w:r>
            <w:r w:rsidRPr="0049041F">
              <w:rPr>
                <w:sz w:val="16"/>
                <w:szCs w:val="16"/>
              </w:rPr>
              <w:t>54</w:t>
            </w:r>
          </w:p>
        </w:tc>
        <w:tc>
          <w:tcPr>
            <w:tcW w:w="1200" w:type="dxa"/>
            <w:tcBorders>
              <w:top w:val="nil"/>
              <w:left w:val="nil"/>
              <w:bottom w:val="nil"/>
              <w:right w:val="nil"/>
            </w:tcBorders>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06</w:t>
            </w:r>
          </w:p>
        </w:tc>
      </w:tr>
      <w:tr w:rsidR="00254717" w:rsidRPr="0049041F" w:rsidTr="00725E63">
        <w:trPr>
          <w:trHeight w:val="20"/>
          <w:jc w:val="center"/>
        </w:trPr>
        <w:tc>
          <w:tcPr>
            <w:tcW w:w="4031" w:type="dxa"/>
            <w:tcBorders>
              <w:top w:val="nil"/>
              <w:left w:val="nil"/>
              <w:bottom w:val="nil"/>
              <w:right w:val="single" w:sz="4" w:space="0" w:color="auto"/>
            </w:tcBorders>
            <w:shd w:val="clear" w:color="auto" w:fill="auto"/>
          </w:tcPr>
          <w:p w:rsidR="00254717" w:rsidRPr="0049041F" w:rsidRDefault="00254717" w:rsidP="00047A0B">
            <w:pPr>
              <w:spacing w:line="276" w:lineRule="auto"/>
              <w:ind w:left="170"/>
              <w:rPr>
                <w:sz w:val="16"/>
                <w:szCs w:val="16"/>
              </w:rPr>
            </w:pPr>
            <w:r w:rsidRPr="0049041F">
              <w:rPr>
                <w:sz w:val="16"/>
                <w:szCs w:val="16"/>
              </w:rPr>
              <w:t>Manufacturing</w:t>
            </w:r>
          </w:p>
        </w:tc>
        <w:tc>
          <w:tcPr>
            <w:tcW w:w="1339" w:type="dxa"/>
            <w:tcBorders>
              <w:top w:val="nil"/>
              <w:left w:val="single" w:sz="4" w:space="0" w:color="auto"/>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6171</w:t>
            </w:r>
            <w:r w:rsidR="00047A0B">
              <w:rPr>
                <w:sz w:val="16"/>
                <w:szCs w:val="16"/>
              </w:rPr>
              <w:t>.</w:t>
            </w:r>
            <w:r w:rsidRPr="0049041F">
              <w:rPr>
                <w:sz w:val="16"/>
                <w:szCs w:val="16"/>
              </w:rPr>
              <w:t>51</w:t>
            </w:r>
          </w:p>
        </w:tc>
        <w:tc>
          <w:tcPr>
            <w:tcW w:w="1215"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996</w:t>
            </w:r>
            <w:r w:rsidR="00047A0B">
              <w:rPr>
                <w:sz w:val="16"/>
                <w:szCs w:val="16"/>
              </w:rPr>
              <w:t>.</w:t>
            </w:r>
            <w:r w:rsidRPr="0049041F">
              <w:rPr>
                <w:sz w:val="16"/>
                <w:szCs w:val="16"/>
              </w:rPr>
              <w:t>64</w:t>
            </w:r>
          </w:p>
        </w:tc>
        <w:tc>
          <w:tcPr>
            <w:tcW w:w="1170"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1</w:t>
            </w:r>
            <w:r w:rsidR="00047A0B">
              <w:rPr>
                <w:sz w:val="16"/>
                <w:szCs w:val="16"/>
              </w:rPr>
              <w:t>.</w:t>
            </w:r>
            <w:r w:rsidRPr="0049041F">
              <w:rPr>
                <w:sz w:val="16"/>
                <w:szCs w:val="16"/>
              </w:rPr>
              <w:t>89</w:t>
            </w:r>
          </w:p>
        </w:tc>
        <w:tc>
          <w:tcPr>
            <w:tcW w:w="1264"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48</w:t>
            </w:r>
          </w:p>
        </w:tc>
        <w:tc>
          <w:tcPr>
            <w:tcW w:w="1200" w:type="dxa"/>
            <w:tcBorders>
              <w:top w:val="nil"/>
              <w:left w:val="nil"/>
              <w:bottom w:val="nil"/>
              <w:right w:val="nil"/>
            </w:tcBorders>
            <w:vAlign w:val="bottom"/>
          </w:tcPr>
          <w:p w:rsidR="00254717" w:rsidRPr="0049041F" w:rsidRDefault="00254717" w:rsidP="00047A0B">
            <w:pPr>
              <w:spacing w:line="276" w:lineRule="auto"/>
              <w:ind w:right="170"/>
              <w:jc w:val="right"/>
              <w:rPr>
                <w:sz w:val="16"/>
                <w:szCs w:val="16"/>
              </w:rPr>
            </w:pPr>
            <w:r w:rsidRPr="0049041F">
              <w:rPr>
                <w:sz w:val="16"/>
                <w:szCs w:val="16"/>
              </w:rPr>
              <w:t>111</w:t>
            </w:r>
            <w:r w:rsidR="00047A0B">
              <w:rPr>
                <w:sz w:val="16"/>
                <w:szCs w:val="16"/>
              </w:rPr>
              <w:t>.</w:t>
            </w:r>
            <w:r w:rsidRPr="0049041F">
              <w:rPr>
                <w:sz w:val="16"/>
                <w:szCs w:val="16"/>
              </w:rPr>
              <w:t>10</w:t>
            </w:r>
          </w:p>
        </w:tc>
      </w:tr>
      <w:tr w:rsidR="00725E63" w:rsidRPr="0049041F" w:rsidTr="00725E63">
        <w:trPr>
          <w:trHeight w:val="20"/>
          <w:jc w:val="center"/>
        </w:trPr>
        <w:tc>
          <w:tcPr>
            <w:tcW w:w="4031" w:type="dxa"/>
            <w:tcBorders>
              <w:top w:val="nil"/>
              <w:left w:val="nil"/>
              <w:bottom w:val="nil"/>
              <w:right w:val="single" w:sz="4" w:space="0" w:color="auto"/>
            </w:tcBorders>
            <w:shd w:val="clear" w:color="auto" w:fill="auto"/>
          </w:tcPr>
          <w:p w:rsidR="00725E63" w:rsidRPr="0049041F" w:rsidRDefault="00254717" w:rsidP="00047A0B">
            <w:pPr>
              <w:spacing w:line="276" w:lineRule="auto"/>
              <w:ind w:left="170"/>
              <w:rPr>
                <w:sz w:val="16"/>
                <w:szCs w:val="16"/>
              </w:rPr>
            </w:pPr>
            <w:r w:rsidRPr="0049041F">
              <w:rPr>
                <w:sz w:val="16"/>
                <w:szCs w:val="16"/>
              </w:rPr>
              <w:t>Electricity, gas, steam and air conditioning supply</w:t>
            </w:r>
          </w:p>
        </w:tc>
        <w:tc>
          <w:tcPr>
            <w:tcW w:w="1339" w:type="dxa"/>
            <w:tcBorders>
              <w:top w:val="nil"/>
              <w:left w:val="single" w:sz="4" w:space="0" w:color="auto"/>
              <w:bottom w:val="nil"/>
              <w:right w:val="nil"/>
            </w:tcBorders>
            <w:shd w:val="clear" w:color="auto" w:fill="auto"/>
            <w:vAlign w:val="bottom"/>
          </w:tcPr>
          <w:p w:rsidR="00725E63" w:rsidRPr="0049041F" w:rsidRDefault="00725E63" w:rsidP="00047A0B">
            <w:pPr>
              <w:spacing w:line="276" w:lineRule="auto"/>
              <w:ind w:right="170"/>
              <w:jc w:val="right"/>
              <w:rPr>
                <w:sz w:val="16"/>
                <w:szCs w:val="16"/>
              </w:rPr>
            </w:pPr>
            <w:r w:rsidRPr="0049041F">
              <w:rPr>
                <w:sz w:val="16"/>
                <w:szCs w:val="16"/>
              </w:rPr>
              <w:t>32290</w:t>
            </w:r>
            <w:r w:rsidR="00047A0B">
              <w:rPr>
                <w:sz w:val="16"/>
                <w:szCs w:val="16"/>
              </w:rPr>
              <w:t>.</w:t>
            </w:r>
            <w:r w:rsidRPr="0049041F">
              <w:rPr>
                <w:sz w:val="16"/>
                <w:szCs w:val="16"/>
              </w:rPr>
              <w:t>78</w:t>
            </w:r>
          </w:p>
        </w:tc>
        <w:tc>
          <w:tcPr>
            <w:tcW w:w="1215" w:type="dxa"/>
            <w:tcBorders>
              <w:top w:val="nil"/>
              <w:left w:val="nil"/>
              <w:bottom w:val="nil"/>
              <w:right w:val="nil"/>
            </w:tcBorders>
            <w:shd w:val="clear" w:color="auto" w:fill="auto"/>
            <w:vAlign w:val="bottom"/>
          </w:tcPr>
          <w:p w:rsidR="00725E63" w:rsidRPr="0049041F" w:rsidRDefault="00725E63" w:rsidP="00047A0B">
            <w:pPr>
              <w:spacing w:line="276" w:lineRule="auto"/>
              <w:ind w:right="170"/>
              <w:jc w:val="right"/>
              <w:rPr>
                <w:sz w:val="16"/>
                <w:szCs w:val="16"/>
              </w:rPr>
            </w:pPr>
            <w:r w:rsidRPr="0049041F">
              <w:rPr>
                <w:sz w:val="16"/>
                <w:szCs w:val="16"/>
              </w:rPr>
              <w:t>97</w:t>
            </w:r>
            <w:r w:rsidR="00047A0B">
              <w:rPr>
                <w:sz w:val="16"/>
                <w:szCs w:val="16"/>
              </w:rPr>
              <w:t>.</w:t>
            </w:r>
            <w:r w:rsidRPr="0049041F">
              <w:rPr>
                <w:sz w:val="16"/>
                <w:szCs w:val="16"/>
              </w:rPr>
              <w:t>01</w:t>
            </w:r>
          </w:p>
        </w:tc>
        <w:tc>
          <w:tcPr>
            <w:tcW w:w="1170" w:type="dxa"/>
            <w:tcBorders>
              <w:top w:val="nil"/>
              <w:left w:val="nil"/>
              <w:bottom w:val="nil"/>
              <w:right w:val="nil"/>
            </w:tcBorders>
            <w:shd w:val="clear" w:color="auto" w:fill="auto"/>
            <w:vAlign w:val="bottom"/>
          </w:tcPr>
          <w:p w:rsidR="00725E63" w:rsidRPr="0049041F" w:rsidRDefault="00725E63"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47</w:t>
            </w:r>
          </w:p>
        </w:tc>
        <w:tc>
          <w:tcPr>
            <w:tcW w:w="1264" w:type="dxa"/>
            <w:tcBorders>
              <w:top w:val="nil"/>
              <w:left w:val="nil"/>
              <w:bottom w:val="nil"/>
              <w:right w:val="nil"/>
            </w:tcBorders>
            <w:shd w:val="clear" w:color="auto" w:fill="auto"/>
            <w:vAlign w:val="bottom"/>
          </w:tcPr>
          <w:p w:rsidR="00725E63" w:rsidRPr="0049041F" w:rsidRDefault="00725E63" w:rsidP="00047A0B">
            <w:pPr>
              <w:spacing w:line="276" w:lineRule="auto"/>
              <w:ind w:right="170"/>
              <w:jc w:val="right"/>
              <w:rPr>
                <w:sz w:val="16"/>
                <w:szCs w:val="16"/>
              </w:rPr>
            </w:pPr>
            <w:r w:rsidRPr="0049041F">
              <w:rPr>
                <w:sz w:val="16"/>
                <w:szCs w:val="16"/>
              </w:rPr>
              <w:t>6</w:t>
            </w:r>
            <w:r w:rsidR="00047A0B">
              <w:rPr>
                <w:sz w:val="16"/>
                <w:szCs w:val="16"/>
              </w:rPr>
              <w:t>.</w:t>
            </w:r>
            <w:r w:rsidRPr="0049041F">
              <w:rPr>
                <w:sz w:val="16"/>
                <w:szCs w:val="16"/>
              </w:rPr>
              <w:t>34</w:t>
            </w:r>
          </w:p>
        </w:tc>
        <w:tc>
          <w:tcPr>
            <w:tcW w:w="1200" w:type="dxa"/>
            <w:tcBorders>
              <w:top w:val="nil"/>
              <w:left w:val="nil"/>
              <w:bottom w:val="nil"/>
              <w:right w:val="nil"/>
            </w:tcBorders>
            <w:vAlign w:val="bottom"/>
          </w:tcPr>
          <w:p w:rsidR="00725E63" w:rsidRPr="0049041F" w:rsidRDefault="00725E63"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14</w:t>
            </w:r>
          </w:p>
        </w:tc>
      </w:tr>
      <w:tr w:rsidR="00254717" w:rsidRPr="0049041F" w:rsidTr="00725E63">
        <w:trPr>
          <w:trHeight w:val="20"/>
          <w:jc w:val="center"/>
        </w:trPr>
        <w:tc>
          <w:tcPr>
            <w:tcW w:w="4031" w:type="dxa"/>
            <w:tcBorders>
              <w:top w:val="nil"/>
              <w:left w:val="nil"/>
              <w:bottom w:val="nil"/>
              <w:right w:val="single" w:sz="4" w:space="0" w:color="auto"/>
            </w:tcBorders>
            <w:shd w:val="clear" w:color="auto" w:fill="auto"/>
          </w:tcPr>
          <w:p w:rsidR="00254717" w:rsidRPr="0049041F" w:rsidRDefault="00254717" w:rsidP="00047A0B">
            <w:pPr>
              <w:spacing w:line="276" w:lineRule="auto"/>
              <w:ind w:left="170"/>
              <w:rPr>
                <w:sz w:val="16"/>
                <w:szCs w:val="16"/>
              </w:rPr>
            </w:pPr>
            <w:r w:rsidRPr="0049041F">
              <w:rPr>
                <w:sz w:val="16"/>
                <w:szCs w:val="16"/>
              </w:rPr>
              <w:t>Transport and storage</w:t>
            </w:r>
          </w:p>
        </w:tc>
        <w:tc>
          <w:tcPr>
            <w:tcW w:w="1339" w:type="dxa"/>
            <w:tcBorders>
              <w:top w:val="nil"/>
              <w:left w:val="single" w:sz="4" w:space="0" w:color="auto"/>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786</w:t>
            </w:r>
            <w:r w:rsidR="00047A0B">
              <w:rPr>
                <w:sz w:val="16"/>
                <w:szCs w:val="16"/>
              </w:rPr>
              <w:t>.</w:t>
            </w:r>
            <w:r w:rsidRPr="0049041F">
              <w:rPr>
                <w:sz w:val="16"/>
                <w:szCs w:val="16"/>
              </w:rPr>
              <w:t>92</w:t>
            </w:r>
          </w:p>
        </w:tc>
        <w:tc>
          <w:tcPr>
            <w:tcW w:w="1215"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295</w:t>
            </w:r>
            <w:r w:rsidR="00047A0B">
              <w:rPr>
                <w:sz w:val="16"/>
                <w:szCs w:val="16"/>
              </w:rPr>
              <w:t>.</w:t>
            </w:r>
            <w:r w:rsidRPr="0049041F">
              <w:rPr>
                <w:sz w:val="16"/>
                <w:szCs w:val="16"/>
              </w:rPr>
              <w:t>14</w:t>
            </w:r>
          </w:p>
        </w:tc>
        <w:tc>
          <w:tcPr>
            <w:tcW w:w="1170"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04</w:t>
            </w:r>
          </w:p>
        </w:tc>
        <w:tc>
          <w:tcPr>
            <w:tcW w:w="1264"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08</w:t>
            </w:r>
          </w:p>
        </w:tc>
        <w:tc>
          <w:tcPr>
            <w:tcW w:w="1200" w:type="dxa"/>
            <w:tcBorders>
              <w:top w:val="nil"/>
              <w:left w:val="nil"/>
              <w:bottom w:val="nil"/>
              <w:right w:val="nil"/>
            </w:tcBorders>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78</w:t>
            </w:r>
          </w:p>
        </w:tc>
      </w:tr>
      <w:tr w:rsidR="00254717" w:rsidRPr="0049041F" w:rsidTr="00725E63">
        <w:trPr>
          <w:trHeight w:val="20"/>
          <w:jc w:val="center"/>
        </w:trPr>
        <w:tc>
          <w:tcPr>
            <w:tcW w:w="4031" w:type="dxa"/>
            <w:tcBorders>
              <w:top w:val="nil"/>
              <w:left w:val="nil"/>
              <w:bottom w:val="nil"/>
              <w:right w:val="single" w:sz="4" w:space="0" w:color="auto"/>
            </w:tcBorders>
            <w:shd w:val="clear" w:color="auto" w:fill="auto"/>
          </w:tcPr>
          <w:p w:rsidR="00254717" w:rsidRPr="0049041F" w:rsidRDefault="00254717" w:rsidP="00047A0B">
            <w:pPr>
              <w:spacing w:line="276" w:lineRule="auto"/>
              <w:ind w:left="170"/>
              <w:rPr>
                <w:sz w:val="16"/>
                <w:szCs w:val="16"/>
              </w:rPr>
            </w:pPr>
            <w:r w:rsidRPr="0049041F">
              <w:rPr>
                <w:sz w:val="16"/>
                <w:szCs w:val="16"/>
              </w:rPr>
              <w:t>Other sections²</w:t>
            </w:r>
            <w:r w:rsidRPr="0049041F">
              <w:rPr>
                <w:rFonts w:ascii="Cambria Math" w:hAnsi="Cambria Math" w:cs="Cambria Math"/>
                <w:sz w:val="16"/>
                <w:szCs w:val="16"/>
              </w:rPr>
              <w:t>⁾</w:t>
            </w:r>
            <w:r w:rsidRPr="0049041F">
              <w:rPr>
                <w:sz w:val="16"/>
                <w:szCs w:val="16"/>
              </w:rPr>
              <w:t xml:space="preserve"> </w:t>
            </w:r>
          </w:p>
        </w:tc>
        <w:tc>
          <w:tcPr>
            <w:tcW w:w="1339" w:type="dxa"/>
            <w:tcBorders>
              <w:top w:val="nil"/>
              <w:left w:val="single" w:sz="4" w:space="0" w:color="auto"/>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1139</w:t>
            </w:r>
            <w:r w:rsidR="00047A0B">
              <w:rPr>
                <w:sz w:val="16"/>
                <w:szCs w:val="16"/>
              </w:rPr>
              <w:t>.</w:t>
            </w:r>
            <w:r w:rsidRPr="0049041F">
              <w:rPr>
                <w:sz w:val="16"/>
                <w:szCs w:val="16"/>
              </w:rPr>
              <w:t>53</w:t>
            </w:r>
          </w:p>
        </w:tc>
        <w:tc>
          <w:tcPr>
            <w:tcW w:w="1215"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3076</w:t>
            </w:r>
            <w:r w:rsidR="00047A0B">
              <w:rPr>
                <w:sz w:val="16"/>
                <w:szCs w:val="16"/>
              </w:rPr>
              <w:t>.</w:t>
            </w:r>
            <w:r w:rsidRPr="0049041F">
              <w:rPr>
                <w:sz w:val="16"/>
                <w:szCs w:val="16"/>
              </w:rPr>
              <w:t>28</w:t>
            </w:r>
          </w:p>
        </w:tc>
        <w:tc>
          <w:tcPr>
            <w:tcW w:w="1170"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26</w:t>
            </w:r>
          </w:p>
        </w:tc>
        <w:tc>
          <w:tcPr>
            <w:tcW w:w="1264"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sz w:val="16"/>
                <w:szCs w:val="16"/>
              </w:rPr>
            </w:pPr>
            <w:r w:rsidRPr="0049041F">
              <w:rPr>
                <w:sz w:val="16"/>
                <w:szCs w:val="16"/>
              </w:rPr>
              <w:t>0</w:t>
            </w:r>
            <w:r w:rsidR="00047A0B">
              <w:rPr>
                <w:sz w:val="16"/>
                <w:szCs w:val="16"/>
              </w:rPr>
              <w:t>.</w:t>
            </w:r>
            <w:r w:rsidRPr="0049041F">
              <w:rPr>
                <w:sz w:val="16"/>
                <w:szCs w:val="16"/>
              </w:rPr>
              <w:t>51</w:t>
            </w:r>
          </w:p>
        </w:tc>
        <w:tc>
          <w:tcPr>
            <w:tcW w:w="1200" w:type="dxa"/>
            <w:tcBorders>
              <w:top w:val="nil"/>
              <w:left w:val="nil"/>
              <w:bottom w:val="nil"/>
              <w:right w:val="nil"/>
            </w:tcBorders>
            <w:vAlign w:val="bottom"/>
          </w:tcPr>
          <w:p w:rsidR="00254717" w:rsidRPr="0049041F" w:rsidRDefault="00254717" w:rsidP="00047A0B">
            <w:pPr>
              <w:spacing w:line="276" w:lineRule="auto"/>
              <w:ind w:right="170"/>
              <w:jc w:val="right"/>
              <w:rPr>
                <w:sz w:val="16"/>
                <w:szCs w:val="16"/>
              </w:rPr>
            </w:pPr>
            <w:r w:rsidRPr="0049041F">
              <w:rPr>
                <w:sz w:val="16"/>
                <w:szCs w:val="16"/>
              </w:rPr>
              <w:t>3</w:t>
            </w:r>
            <w:r w:rsidR="00047A0B">
              <w:rPr>
                <w:sz w:val="16"/>
                <w:szCs w:val="16"/>
              </w:rPr>
              <w:t>.</w:t>
            </w:r>
            <w:r w:rsidRPr="0049041F">
              <w:rPr>
                <w:sz w:val="16"/>
                <w:szCs w:val="16"/>
              </w:rPr>
              <w:t>36</w:t>
            </w:r>
          </w:p>
        </w:tc>
      </w:tr>
      <w:tr w:rsidR="00254717" w:rsidRPr="0049041F" w:rsidTr="00725E63">
        <w:trPr>
          <w:trHeight w:val="20"/>
          <w:jc w:val="center"/>
        </w:trPr>
        <w:tc>
          <w:tcPr>
            <w:tcW w:w="4031" w:type="dxa"/>
            <w:tcBorders>
              <w:top w:val="nil"/>
              <w:left w:val="nil"/>
              <w:bottom w:val="nil"/>
              <w:right w:val="single" w:sz="4" w:space="0" w:color="auto"/>
            </w:tcBorders>
            <w:shd w:val="clear" w:color="auto" w:fill="auto"/>
          </w:tcPr>
          <w:p w:rsidR="00254717" w:rsidRPr="0049041F" w:rsidRDefault="00B32073" w:rsidP="00B32073">
            <w:pPr>
              <w:spacing w:line="276" w:lineRule="auto"/>
              <w:rPr>
                <w:b/>
                <w:sz w:val="16"/>
                <w:szCs w:val="16"/>
              </w:rPr>
            </w:pPr>
            <w:r>
              <w:rPr>
                <w:b/>
                <w:sz w:val="16"/>
                <w:szCs w:val="16"/>
              </w:rPr>
              <w:t>T</w:t>
            </w:r>
            <w:r w:rsidRPr="0049041F">
              <w:rPr>
                <w:b/>
                <w:sz w:val="16"/>
                <w:szCs w:val="16"/>
              </w:rPr>
              <w:t xml:space="preserve">otal </w:t>
            </w:r>
            <w:r w:rsidR="00254717" w:rsidRPr="0049041F">
              <w:rPr>
                <w:b/>
                <w:sz w:val="16"/>
                <w:szCs w:val="16"/>
              </w:rPr>
              <w:t xml:space="preserve">households </w:t>
            </w:r>
          </w:p>
        </w:tc>
        <w:tc>
          <w:tcPr>
            <w:tcW w:w="1339" w:type="dxa"/>
            <w:tcBorders>
              <w:top w:val="nil"/>
              <w:left w:val="single" w:sz="4" w:space="0" w:color="auto"/>
              <w:bottom w:val="nil"/>
              <w:right w:val="nil"/>
            </w:tcBorders>
            <w:shd w:val="clear" w:color="auto" w:fill="auto"/>
            <w:vAlign w:val="bottom"/>
          </w:tcPr>
          <w:p w:rsidR="00254717" w:rsidRPr="0049041F" w:rsidRDefault="00254717" w:rsidP="00047A0B">
            <w:pPr>
              <w:spacing w:line="276" w:lineRule="auto"/>
              <w:ind w:right="170"/>
              <w:jc w:val="right"/>
              <w:rPr>
                <w:b/>
                <w:sz w:val="16"/>
                <w:szCs w:val="16"/>
              </w:rPr>
            </w:pPr>
            <w:r w:rsidRPr="0049041F">
              <w:rPr>
                <w:b/>
                <w:sz w:val="16"/>
                <w:szCs w:val="16"/>
              </w:rPr>
              <w:t>6426</w:t>
            </w:r>
            <w:r w:rsidR="00047A0B">
              <w:rPr>
                <w:b/>
                <w:sz w:val="16"/>
                <w:szCs w:val="16"/>
              </w:rPr>
              <w:t>.</w:t>
            </w:r>
            <w:r w:rsidRPr="0049041F">
              <w:rPr>
                <w:b/>
                <w:sz w:val="16"/>
                <w:szCs w:val="16"/>
              </w:rPr>
              <w:t>99</w:t>
            </w:r>
          </w:p>
        </w:tc>
        <w:tc>
          <w:tcPr>
            <w:tcW w:w="1215"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b/>
                <w:sz w:val="16"/>
                <w:szCs w:val="16"/>
              </w:rPr>
            </w:pPr>
            <w:r w:rsidRPr="0049041F">
              <w:rPr>
                <w:b/>
                <w:sz w:val="16"/>
                <w:szCs w:val="16"/>
              </w:rPr>
              <w:t>0</w:t>
            </w:r>
            <w:r w:rsidR="00047A0B">
              <w:rPr>
                <w:b/>
                <w:sz w:val="16"/>
                <w:szCs w:val="16"/>
              </w:rPr>
              <w:t>.</w:t>
            </w:r>
            <w:r w:rsidRPr="0049041F">
              <w:rPr>
                <w:b/>
                <w:sz w:val="16"/>
                <w:szCs w:val="16"/>
              </w:rPr>
              <w:t>00</w:t>
            </w:r>
          </w:p>
        </w:tc>
        <w:tc>
          <w:tcPr>
            <w:tcW w:w="1170"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b/>
                <w:sz w:val="16"/>
                <w:szCs w:val="16"/>
              </w:rPr>
            </w:pPr>
            <w:r w:rsidRPr="0049041F">
              <w:rPr>
                <w:b/>
                <w:sz w:val="16"/>
                <w:szCs w:val="16"/>
              </w:rPr>
              <w:t>0</w:t>
            </w:r>
            <w:r w:rsidR="00047A0B">
              <w:rPr>
                <w:b/>
                <w:sz w:val="16"/>
                <w:szCs w:val="16"/>
              </w:rPr>
              <w:t>.</w:t>
            </w:r>
            <w:r w:rsidRPr="0049041F">
              <w:rPr>
                <w:b/>
                <w:sz w:val="16"/>
                <w:szCs w:val="16"/>
              </w:rPr>
              <w:t>38</w:t>
            </w:r>
          </w:p>
        </w:tc>
        <w:tc>
          <w:tcPr>
            <w:tcW w:w="1264" w:type="dxa"/>
            <w:tcBorders>
              <w:top w:val="nil"/>
              <w:left w:val="nil"/>
              <w:bottom w:val="nil"/>
              <w:right w:val="nil"/>
            </w:tcBorders>
            <w:shd w:val="clear" w:color="auto" w:fill="auto"/>
            <w:vAlign w:val="bottom"/>
          </w:tcPr>
          <w:p w:rsidR="00254717" w:rsidRPr="0049041F" w:rsidRDefault="00254717" w:rsidP="00047A0B">
            <w:pPr>
              <w:spacing w:line="276" w:lineRule="auto"/>
              <w:ind w:right="170"/>
              <w:jc w:val="right"/>
              <w:rPr>
                <w:b/>
                <w:sz w:val="16"/>
                <w:szCs w:val="16"/>
              </w:rPr>
            </w:pPr>
            <w:r w:rsidRPr="0049041F">
              <w:rPr>
                <w:b/>
                <w:sz w:val="16"/>
                <w:szCs w:val="16"/>
              </w:rPr>
              <w:t>13</w:t>
            </w:r>
            <w:r w:rsidR="00047A0B">
              <w:rPr>
                <w:b/>
                <w:sz w:val="16"/>
                <w:szCs w:val="16"/>
              </w:rPr>
              <w:t>.</w:t>
            </w:r>
            <w:r w:rsidRPr="0049041F">
              <w:rPr>
                <w:b/>
                <w:sz w:val="16"/>
                <w:szCs w:val="16"/>
              </w:rPr>
              <w:t>71</w:t>
            </w:r>
          </w:p>
        </w:tc>
        <w:tc>
          <w:tcPr>
            <w:tcW w:w="1200" w:type="dxa"/>
            <w:tcBorders>
              <w:top w:val="nil"/>
              <w:left w:val="nil"/>
              <w:bottom w:val="nil"/>
              <w:right w:val="nil"/>
            </w:tcBorders>
            <w:vAlign w:val="bottom"/>
          </w:tcPr>
          <w:p w:rsidR="00254717" w:rsidRPr="0049041F" w:rsidRDefault="00254717" w:rsidP="00047A0B">
            <w:pPr>
              <w:spacing w:line="276" w:lineRule="auto"/>
              <w:ind w:right="170"/>
              <w:jc w:val="right"/>
              <w:rPr>
                <w:b/>
                <w:sz w:val="16"/>
                <w:szCs w:val="16"/>
              </w:rPr>
            </w:pPr>
            <w:r w:rsidRPr="0049041F">
              <w:rPr>
                <w:b/>
                <w:sz w:val="16"/>
                <w:szCs w:val="16"/>
              </w:rPr>
              <w:t>42</w:t>
            </w:r>
            <w:r w:rsidR="00047A0B">
              <w:rPr>
                <w:b/>
                <w:sz w:val="16"/>
                <w:szCs w:val="16"/>
              </w:rPr>
              <w:t>.</w:t>
            </w:r>
            <w:r w:rsidRPr="0049041F">
              <w:rPr>
                <w:b/>
                <w:sz w:val="16"/>
                <w:szCs w:val="16"/>
              </w:rPr>
              <w:t>07</w:t>
            </w:r>
          </w:p>
        </w:tc>
      </w:tr>
    </w:tbl>
    <w:p w:rsidR="00725E63" w:rsidRPr="0049041F" w:rsidRDefault="00725E63" w:rsidP="00725E63">
      <w:pPr>
        <w:tabs>
          <w:tab w:val="left" w:pos="9990"/>
        </w:tabs>
        <w:ind w:left="113" w:hanging="113"/>
        <w:rPr>
          <w:sz w:val="14"/>
          <w:szCs w:val="14"/>
        </w:rPr>
      </w:pPr>
    </w:p>
    <w:p w:rsidR="00725E63" w:rsidRPr="0049041F" w:rsidRDefault="00725E63" w:rsidP="00725E63">
      <w:pPr>
        <w:tabs>
          <w:tab w:val="left" w:pos="9990"/>
        </w:tabs>
        <w:ind w:left="113" w:hanging="113"/>
        <w:rPr>
          <w:sz w:val="14"/>
          <w:szCs w:val="14"/>
        </w:rPr>
      </w:pPr>
      <w:r w:rsidRPr="0049041F">
        <w:rPr>
          <w:noProof/>
          <w:sz w:val="14"/>
          <w:szCs w:val="14"/>
          <w:lang w:val="en-US"/>
        </w:rPr>
        <mc:AlternateContent>
          <mc:Choice Requires="wps">
            <w:drawing>
              <wp:anchor distT="0" distB="0" distL="114300" distR="114300" simplePos="0" relativeHeight="251661312" behindDoc="0" locked="0" layoutInCell="1" allowOverlap="1" wp14:anchorId="3AFE8DB2" wp14:editId="528EAAD2">
                <wp:simplePos x="0" y="0"/>
                <wp:positionH relativeFrom="column">
                  <wp:posOffset>14605</wp:posOffset>
                </wp:positionH>
                <wp:positionV relativeFrom="paragraph">
                  <wp:posOffset>39370</wp:posOffset>
                </wp:positionV>
                <wp:extent cx="10541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05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3.1pt" to="8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" strokecolor="black [3213]" strokeweight=".25pt"/>
            </w:pict>
          </mc:Fallback>
        </mc:AlternateContent>
      </w:r>
    </w:p>
    <w:p w:rsidR="00D948C3" w:rsidRPr="00702633" w:rsidRDefault="008728C7" w:rsidP="006B5271">
      <w:pPr>
        <w:tabs>
          <w:tab w:val="left" w:pos="9990"/>
        </w:tabs>
        <w:ind w:left="113" w:hanging="113"/>
        <w:rPr>
          <w:sz w:val="14"/>
          <w:szCs w:val="14"/>
        </w:rPr>
      </w:pPr>
      <w:r w:rsidRPr="00702633">
        <w:rPr>
          <w:sz w:val="14"/>
          <w:szCs w:val="14"/>
          <w:vertAlign w:val="superscript"/>
        </w:rPr>
        <w:t>1)</w:t>
      </w:r>
      <w:r w:rsidRPr="00702633">
        <w:rPr>
          <w:sz w:val="14"/>
          <w:szCs w:val="14"/>
        </w:rPr>
        <w:t xml:space="preserve"> </w:t>
      </w:r>
      <w:r w:rsidR="00C01377" w:rsidRPr="00702633">
        <w:rPr>
          <w:sz w:val="14"/>
          <w:szCs w:val="14"/>
        </w:rPr>
        <w:t>Source: Serbian Environmental Protection Agency.</w:t>
      </w:r>
    </w:p>
    <w:p w:rsidR="00520A34" w:rsidRPr="00702633" w:rsidRDefault="00520A34" w:rsidP="00520A34">
      <w:pPr>
        <w:tabs>
          <w:tab w:val="left" w:pos="9990"/>
        </w:tabs>
        <w:ind w:left="113" w:hanging="113"/>
        <w:rPr>
          <w:sz w:val="14"/>
          <w:szCs w:val="14"/>
        </w:rPr>
      </w:pPr>
      <w:r w:rsidRPr="00702633">
        <w:rPr>
          <w:sz w:val="14"/>
          <w:szCs w:val="14"/>
        </w:rPr>
        <w:t>²</w:t>
      </w:r>
      <w:r w:rsidRPr="00702633">
        <w:rPr>
          <w:rFonts w:ascii="Cambria Math" w:hAnsi="Cambria Math" w:cs="Cambria Math"/>
          <w:sz w:val="14"/>
          <w:szCs w:val="14"/>
        </w:rPr>
        <w:t>⁾</w:t>
      </w:r>
      <w:r w:rsidRPr="00702633">
        <w:rPr>
          <w:sz w:val="14"/>
          <w:szCs w:val="14"/>
        </w:rPr>
        <w:t xml:space="preserve"> Shown is a summary of data for the rest of the sect</w:t>
      </w:r>
      <w:r w:rsidR="00872DF7" w:rsidRPr="00702633">
        <w:rPr>
          <w:sz w:val="14"/>
          <w:szCs w:val="14"/>
        </w:rPr>
        <w:t>ion</w:t>
      </w:r>
      <w:r w:rsidRPr="00702633">
        <w:rPr>
          <w:sz w:val="14"/>
          <w:szCs w:val="14"/>
        </w:rPr>
        <w:t>s of classification of activities: E,F,G,I,J,K,L,M,N,O,P,Q,R,S,T,U</w:t>
      </w:r>
      <w:r w:rsidR="001C27CE" w:rsidRPr="00702633">
        <w:rPr>
          <w:sz w:val="14"/>
          <w:szCs w:val="14"/>
        </w:rPr>
        <w:t>.</w:t>
      </w:r>
    </w:p>
    <w:p w:rsidR="007513E5" w:rsidRPr="0049041F" w:rsidRDefault="007513E5" w:rsidP="00676E1B">
      <w:pPr>
        <w:spacing w:after="80"/>
        <w:ind w:firstLine="403"/>
        <w:jc w:val="both"/>
        <w:rPr>
          <w:sz w:val="16"/>
          <w:szCs w:val="16"/>
        </w:rPr>
      </w:pPr>
    </w:p>
    <w:p w:rsidR="00725E63" w:rsidRPr="0049041F" w:rsidRDefault="00725E63" w:rsidP="00676E1B">
      <w:pPr>
        <w:spacing w:after="80"/>
        <w:ind w:firstLine="403"/>
        <w:jc w:val="both"/>
      </w:pPr>
    </w:p>
    <w:p w:rsidR="00725E63" w:rsidRPr="0049041F" w:rsidRDefault="00725E63" w:rsidP="00676E1B">
      <w:pPr>
        <w:spacing w:after="80"/>
        <w:ind w:firstLine="403"/>
        <w:jc w:val="both"/>
      </w:pPr>
    </w:p>
    <w:p w:rsidR="00676E1B" w:rsidRPr="0049041F" w:rsidRDefault="008F4410" w:rsidP="00676E1B">
      <w:pPr>
        <w:spacing w:after="80"/>
        <w:ind w:firstLine="403"/>
        <w:jc w:val="both"/>
      </w:pPr>
      <w:r w:rsidRPr="0049041F">
        <w:t>Methodological explanations on the air emission account can be found on the website of the Statistical Office of the Republic of Serbia:</w:t>
      </w:r>
      <w:r w:rsidR="0081435B" w:rsidRPr="0049041F">
        <w:t xml:space="preserve"> </w:t>
      </w:r>
      <w:hyperlink r:id="rId12" w:history="1">
        <w:r w:rsidR="00C01377" w:rsidRPr="0049041F">
          <w:rPr>
            <w:rStyle w:val="Hyperlink"/>
            <w:rFonts w:cs="Arial"/>
          </w:rPr>
          <w:t>http://webrzs.stat.gov.rs/WebSite/Public/PageView.aspx?pKey=64</w:t>
        </w:r>
      </w:hyperlink>
      <w:r w:rsidR="001C27CE" w:rsidRPr="0049041F">
        <w:t>.</w:t>
      </w:r>
    </w:p>
    <w:p w:rsidR="00C01377" w:rsidRPr="0049041F" w:rsidRDefault="008F4410" w:rsidP="00676E1B">
      <w:pPr>
        <w:spacing w:after="80"/>
        <w:ind w:firstLine="403"/>
        <w:jc w:val="both"/>
      </w:pPr>
      <w:r w:rsidRPr="0049041F">
        <w:t>Data series</w:t>
      </w:r>
      <w:r w:rsidR="001F225A" w:rsidRPr="0049041F">
        <w:t xml:space="preserve"> for the air emission accounts are accessible on the website of the Statistical Office of the Republic of Serbia, in database </w:t>
      </w:r>
      <w:r w:rsidR="003560F0" w:rsidRPr="0049041F">
        <w:t>http://webrzs.stat.gov.rs/WebSite/public/ReportView.aspx.</w:t>
      </w:r>
    </w:p>
    <w:p w:rsidR="001F225A" w:rsidRPr="0049041F" w:rsidRDefault="001F225A" w:rsidP="00655C6C">
      <w:pPr>
        <w:spacing w:after="80"/>
        <w:ind w:firstLine="403"/>
        <w:jc w:val="both"/>
        <w:rPr>
          <w:rFonts w:ascii="Tahoma" w:hAnsi="Tahoma" w:cs="Tahoma"/>
        </w:rPr>
      </w:pPr>
      <w:r w:rsidRPr="0049041F">
        <w:rPr>
          <w:rFonts w:ascii="Tahoma" w:hAnsi="Tahoma" w:cs="Tahoma"/>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F3ABF" w:rsidRPr="0049041F" w:rsidRDefault="001F3ABF" w:rsidP="00791F5B">
      <w:pPr>
        <w:rPr>
          <w:sz w:val="16"/>
          <w:szCs w:val="16"/>
        </w:rPr>
      </w:pPr>
    </w:p>
    <w:p w:rsidR="00725E63" w:rsidRPr="0049041F" w:rsidRDefault="00725E63" w:rsidP="00791F5B">
      <w:pPr>
        <w:rPr>
          <w:sz w:val="16"/>
          <w:szCs w:val="16"/>
        </w:rPr>
      </w:pPr>
    </w:p>
    <w:p w:rsidR="00725E63" w:rsidRDefault="00725E63" w:rsidP="00791F5B">
      <w:pPr>
        <w:rPr>
          <w:sz w:val="16"/>
          <w:szCs w:val="16"/>
        </w:rPr>
      </w:pPr>
    </w:p>
    <w:p w:rsidR="003B028E" w:rsidRDefault="003B028E" w:rsidP="00791F5B">
      <w:pPr>
        <w:rPr>
          <w:sz w:val="16"/>
          <w:szCs w:val="16"/>
        </w:rPr>
      </w:pPr>
    </w:p>
    <w:p w:rsidR="003B028E" w:rsidRDefault="003B028E" w:rsidP="00791F5B">
      <w:pPr>
        <w:rPr>
          <w:sz w:val="16"/>
          <w:szCs w:val="16"/>
        </w:rPr>
      </w:pPr>
    </w:p>
    <w:p w:rsidR="003B028E" w:rsidRDefault="003B028E" w:rsidP="00791F5B">
      <w:pPr>
        <w:rPr>
          <w:sz w:val="16"/>
          <w:szCs w:val="16"/>
        </w:rPr>
      </w:pPr>
    </w:p>
    <w:p w:rsidR="00725E63" w:rsidRPr="0049041F" w:rsidRDefault="00725E63" w:rsidP="00791F5B">
      <w:pPr>
        <w:rPr>
          <w:sz w:val="16"/>
          <w:szCs w:val="16"/>
        </w:rPr>
      </w:pPr>
    </w:p>
    <w:p w:rsidR="00725E63" w:rsidRPr="0049041F" w:rsidRDefault="00725E63" w:rsidP="00791F5B">
      <w:pPr>
        <w:rPr>
          <w:sz w:val="16"/>
          <w:szCs w:val="16"/>
        </w:rPr>
      </w:pPr>
    </w:p>
    <w:p w:rsidR="0034201E" w:rsidRPr="0049041F" w:rsidRDefault="0034201E" w:rsidP="00791F5B">
      <w:pPr>
        <w:rPr>
          <w:sz w:val="16"/>
          <w:szCs w:val="16"/>
        </w:rPr>
      </w:pPr>
    </w:p>
    <w:p w:rsidR="00EF554A" w:rsidRPr="0049041F" w:rsidRDefault="009A716E" w:rsidP="00B17B15">
      <w:pPr>
        <w:rPr>
          <w:sz w:val="16"/>
          <w:szCs w:val="16"/>
        </w:rPr>
      </w:pPr>
      <w:r w:rsidRPr="0049041F">
        <w:rPr>
          <w:noProof/>
          <w:lang w:val="en-US"/>
        </w:rPr>
        <mc:AlternateContent>
          <mc:Choice Requires="wps">
            <w:drawing>
              <wp:anchor distT="0" distB="0" distL="114300" distR="114300" simplePos="0" relativeHeight="251658240" behindDoc="0" locked="0" layoutInCell="1" allowOverlap="1">
                <wp:simplePos x="0" y="0"/>
                <wp:positionH relativeFrom="character">
                  <wp:posOffset>295275</wp:posOffset>
                </wp:positionH>
                <wp:positionV relativeFrom="line">
                  <wp:posOffset>104775</wp:posOffset>
                </wp:positionV>
                <wp:extent cx="5958205" cy="0"/>
                <wp:effectExtent l="9525" t="9525" r="1397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3.25pt,8.25pt" to="492.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I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" strokecolor="gray" strokeweight=".25pt">
                <w10:wrap anchory="line"/>
              </v:line>
            </w:pict>
          </mc:Fallback>
        </mc:AlternateContent>
      </w:r>
    </w:p>
    <w:p w:rsidR="00EF554A" w:rsidRPr="0049041F" w:rsidRDefault="00EF554A" w:rsidP="001E008D">
      <w:pPr>
        <w:jc w:val="center"/>
        <w:rPr>
          <w:sz w:val="2"/>
          <w:szCs w:val="2"/>
          <w:u w:val="single"/>
        </w:rPr>
      </w:pPr>
    </w:p>
    <w:p w:rsidR="00EF554A" w:rsidRPr="0049041F" w:rsidRDefault="008F4410" w:rsidP="00725E63">
      <w:pPr>
        <w:spacing w:before="120"/>
        <w:jc w:val="center"/>
        <w:rPr>
          <w:sz w:val="18"/>
          <w:szCs w:val="18"/>
        </w:rPr>
      </w:pPr>
      <w:r w:rsidRPr="0049041F">
        <w:rPr>
          <w:sz w:val="18"/>
          <w:szCs w:val="18"/>
        </w:rPr>
        <w:t>Contact</w:t>
      </w:r>
      <w:r w:rsidR="00EF554A" w:rsidRPr="0049041F">
        <w:rPr>
          <w:sz w:val="18"/>
          <w:szCs w:val="18"/>
        </w:rPr>
        <w:t xml:space="preserve">:  </w:t>
      </w:r>
      <w:hyperlink r:id="rId13" w:history="1">
        <w:r w:rsidR="00725E63" w:rsidRPr="0049041F">
          <w:rPr>
            <w:rStyle w:val="Hyperlink"/>
            <w:rFonts w:cs="Arial"/>
            <w:sz w:val="18"/>
            <w:szCs w:val="18"/>
          </w:rPr>
          <w:t>biljana.djokic@stat.gov.rs</w:t>
        </w:r>
      </w:hyperlink>
      <w:r w:rsidR="006D15A0" w:rsidRPr="0049041F">
        <w:rPr>
          <w:sz w:val="18"/>
          <w:szCs w:val="18"/>
        </w:rPr>
        <w:t>,</w:t>
      </w:r>
      <w:r w:rsidR="00EF554A" w:rsidRPr="0049041F">
        <w:rPr>
          <w:sz w:val="18"/>
          <w:szCs w:val="18"/>
        </w:rPr>
        <w:t xml:space="preserve"> </w:t>
      </w:r>
      <w:r w:rsidRPr="0049041F">
        <w:rPr>
          <w:sz w:val="18"/>
          <w:szCs w:val="18"/>
        </w:rPr>
        <w:t>Phone</w:t>
      </w:r>
      <w:r w:rsidR="00EF554A" w:rsidRPr="0049041F">
        <w:rPr>
          <w:sz w:val="18"/>
          <w:szCs w:val="18"/>
        </w:rPr>
        <w:t>: 011 2412-922</w:t>
      </w:r>
      <w:r w:rsidRPr="0049041F">
        <w:rPr>
          <w:sz w:val="18"/>
          <w:szCs w:val="18"/>
        </w:rPr>
        <w:t>,</w:t>
      </w:r>
      <w:r w:rsidR="00EF554A" w:rsidRPr="0049041F">
        <w:rPr>
          <w:sz w:val="18"/>
          <w:szCs w:val="18"/>
        </w:rPr>
        <w:t xml:space="preserve"> </w:t>
      </w:r>
      <w:r w:rsidRPr="0049041F">
        <w:rPr>
          <w:sz w:val="18"/>
          <w:szCs w:val="18"/>
        </w:rPr>
        <w:t>ext.</w:t>
      </w:r>
      <w:r w:rsidR="00EF554A" w:rsidRPr="0049041F">
        <w:rPr>
          <w:sz w:val="18"/>
          <w:szCs w:val="18"/>
        </w:rPr>
        <w:t xml:space="preserve"> </w:t>
      </w:r>
      <w:r w:rsidR="003854DA" w:rsidRPr="0049041F">
        <w:rPr>
          <w:sz w:val="18"/>
          <w:szCs w:val="18"/>
        </w:rPr>
        <w:t>306</w:t>
      </w:r>
    </w:p>
    <w:p w:rsidR="00AE26C6" w:rsidRPr="0049041F" w:rsidRDefault="008F4410" w:rsidP="00EC3833">
      <w:pPr>
        <w:jc w:val="center"/>
        <w:rPr>
          <w:sz w:val="18"/>
          <w:szCs w:val="18"/>
        </w:rPr>
      </w:pPr>
      <w:r w:rsidRPr="0049041F">
        <w:rPr>
          <w:sz w:val="18"/>
          <w:szCs w:val="18"/>
        </w:rPr>
        <w:t>Published and printed by</w:t>
      </w:r>
      <w:r w:rsidR="00EF554A" w:rsidRPr="0049041F">
        <w:rPr>
          <w:sz w:val="18"/>
          <w:szCs w:val="18"/>
        </w:rPr>
        <w:t xml:space="preserve">: </w:t>
      </w:r>
      <w:r w:rsidRPr="0049041F">
        <w:rPr>
          <w:sz w:val="18"/>
          <w:szCs w:val="18"/>
        </w:rPr>
        <w:t>Statistical Office of the Republic of Serbia</w:t>
      </w:r>
      <w:r w:rsidR="00EF554A" w:rsidRPr="0049041F">
        <w:rPr>
          <w:sz w:val="18"/>
          <w:szCs w:val="18"/>
        </w:rPr>
        <w:t xml:space="preserve">, </w:t>
      </w:r>
      <w:r w:rsidRPr="0049041F">
        <w:rPr>
          <w:sz w:val="18"/>
          <w:szCs w:val="18"/>
        </w:rPr>
        <w:t>Belgrade</w:t>
      </w:r>
      <w:r w:rsidR="00EF554A" w:rsidRPr="0049041F">
        <w:rPr>
          <w:sz w:val="18"/>
          <w:szCs w:val="18"/>
        </w:rPr>
        <w:t xml:space="preserve">, </w:t>
      </w:r>
      <w:r w:rsidRPr="0049041F">
        <w:rPr>
          <w:sz w:val="18"/>
          <w:szCs w:val="18"/>
        </w:rPr>
        <w:t>Milana Rakica</w:t>
      </w:r>
      <w:r w:rsidR="00EF554A" w:rsidRPr="0049041F">
        <w:rPr>
          <w:sz w:val="18"/>
          <w:szCs w:val="18"/>
        </w:rPr>
        <w:t xml:space="preserve"> 5 </w:t>
      </w:r>
      <w:r w:rsidR="00EF554A" w:rsidRPr="0049041F">
        <w:rPr>
          <w:sz w:val="18"/>
          <w:szCs w:val="18"/>
        </w:rPr>
        <w:br/>
      </w:r>
      <w:r w:rsidRPr="0049041F">
        <w:rPr>
          <w:sz w:val="18"/>
          <w:szCs w:val="18"/>
        </w:rPr>
        <w:t>Phone</w:t>
      </w:r>
      <w:r w:rsidR="00EF554A" w:rsidRPr="0049041F">
        <w:rPr>
          <w:sz w:val="18"/>
          <w:szCs w:val="18"/>
        </w:rPr>
        <w:t xml:space="preserve">: 011 2-412-922 • </w:t>
      </w:r>
      <w:r w:rsidRPr="0049041F">
        <w:rPr>
          <w:sz w:val="18"/>
          <w:szCs w:val="18"/>
        </w:rPr>
        <w:t>Fax</w:t>
      </w:r>
      <w:r w:rsidR="00EF554A" w:rsidRPr="0049041F">
        <w:rPr>
          <w:sz w:val="18"/>
          <w:szCs w:val="18"/>
        </w:rPr>
        <w:t>: 011 2-411-260 • www</w:t>
      </w:r>
      <w:r w:rsidRPr="0049041F">
        <w:rPr>
          <w:sz w:val="18"/>
          <w:szCs w:val="18"/>
        </w:rPr>
        <w:t>.</w:t>
      </w:r>
      <w:r w:rsidR="00EF554A" w:rsidRPr="0049041F">
        <w:rPr>
          <w:sz w:val="18"/>
          <w:szCs w:val="18"/>
        </w:rPr>
        <w:t>stat</w:t>
      </w:r>
      <w:r w:rsidRPr="0049041F">
        <w:rPr>
          <w:sz w:val="18"/>
          <w:szCs w:val="18"/>
        </w:rPr>
        <w:t>.</w:t>
      </w:r>
      <w:r w:rsidR="00EF554A" w:rsidRPr="0049041F">
        <w:rPr>
          <w:sz w:val="18"/>
          <w:szCs w:val="18"/>
        </w:rPr>
        <w:t>gov</w:t>
      </w:r>
      <w:r w:rsidRPr="0049041F">
        <w:rPr>
          <w:sz w:val="18"/>
          <w:szCs w:val="18"/>
        </w:rPr>
        <w:t>.</w:t>
      </w:r>
      <w:r w:rsidR="00EF554A" w:rsidRPr="0049041F">
        <w:rPr>
          <w:sz w:val="18"/>
          <w:szCs w:val="18"/>
        </w:rPr>
        <w:t>rs</w:t>
      </w:r>
      <w:r w:rsidR="00EF554A" w:rsidRPr="0049041F">
        <w:rPr>
          <w:sz w:val="18"/>
          <w:szCs w:val="18"/>
        </w:rPr>
        <w:br/>
      </w:r>
      <w:r w:rsidRPr="0049041F">
        <w:rPr>
          <w:sz w:val="18"/>
          <w:szCs w:val="18"/>
        </w:rPr>
        <w:t>Responsible</w:t>
      </w:r>
      <w:r w:rsidR="00EF554A" w:rsidRPr="0049041F">
        <w:rPr>
          <w:sz w:val="18"/>
          <w:szCs w:val="18"/>
        </w:rPr>
        <w:t xml:space="preserve">: </w:t>
      </w:r>
      <w:r w:rsidRPr="0049041F">
        <w:rPr>
          <w:sz w:val="18"/>
          <w:szCs w:val="18"/>
        </w:rPr>
        <w:t>Dr</w:t>
      </w:r>
      <w:r w:rsidR="00EF554A" w:rsidRPr="0049041F">
        <w:rPr>
          <w:sz w:val="18"/>
          <w:szCs w:val="18"/>
        </w:rPr>
        <w:t xml:space="preserve"> </w:t>
      </w:r>
      <w:r w:rsidRPr="0049041F">
        <w:rPr>
          <w:sz w:val="18"/>
          <w:szCs w:val="18"/>
        </w:rPr>
        <w:t>Miladin</w:t>
      </w:r>
      <w:r w:rsidR="006D15A0" w:rsidRPr="0049041F">
        <w:rPr>
          <w:sz w:val="18"/>
          <w:szCs w:val="18"/>
        </w:rPr>
        <w:t xml:space="preserve"> </w:t>
      </w:r>
      <w:r w:rsidRPr="0049041F">
        <w:rPr>
          <w:sz w:val="18"/>
          <w:szCs w:val="18"/>
        </w:rPr>
        <w:t>Kovacevic</w:t>
      </w:r>
      <w:r w:rsidR="00EF554A" w:rsidRPr="0049041F">
        <w:rPr>
          <w:sz w:val="18"/>
          <w:szCs w:val="18"/>
        </w:rPr>
        <w:t xml:space="preserve">, </w:t>
      </w:r>
      <w:r w:rsidRPr="0049041F">
        <w:rPr>
          <w:sz w:val="18"/>
          <w:szCs w:val="18"/>
        </w:rPr>
        <w:t>Director</w:t>
      </w:r>
      <w:r w:rsidR="00EF554A" w:rsidRPr="0049041F">
        <w:rPr>
          <w:sz w:val="18"/>
          <w:szCs w:val="18"/>
        </w:rPr>
        <w:t xml:space="preserve"> </w:t>
      </w:r>
      <w:r w:rsidR="00EF554A" w:rsidRPr="0049041F">
        <w:rPr>
          <w:sz w:val="18"/>
          <w:szCs w:val="18"/>
        </w:rPr>
        <w:br/>
      </w:r>
      <w:r w:rsidRPr="0049041F">
        <w:rPr>
          <w:sz w:val="18"/>
          <w:szCs w:val="18"/>
        </w:rPr>
        <w:t>Circulation</w:t>
      </w:r>
      <w:r w:rsidR="00EF554A" w:rsidRPr="0049041F">
        <w:rPr>
          <w:sz w:val="18"/>
          <w:szCs w:val="18"/>
        </w:rPr>
        <w:t xml:space="preserve">: 20 ● </w:t>
      </w:r>
      <w:r w:rsidRPr="0049041F">
        <w:rPr>
          <w:sz w:val="18"/>
          <w:szCs w:val="18"/>
        </w:rPr>
        <w:t>Periodicity</w:t>
      </w:r>
      <w:r w:rsidR="00EF554A" w:rsidRPr="0049041F">
        <w:rPr>
          <w:sz w:val="18"/>
          <w:szCs w:val="18"/>
        </w:rPr>
        <w:t xml:space="preserve">: </w:t>
      </w:r>
      <w:r w:rsidRPr="0049041F">
        <w:rPr>
          <w:sz w:val="18"/>
          <w:szCs w:val="18"/>
        </w:rPr>
        <w:t>annual</w:t>
      </w:r>
    </w:p>
    <w:sectPr w:rsidR="00AE26C6" w:rsidRPr="0049041F" w:rsidSect="00E8580D">
      <w:footerReference w:type="even" r:id="rId14"/>
      <w:footerReference w:type="default" r:id="rId15"/>
      <w:pgSz w:w="11907" w:h="16840" w:code="9"/>
      <w:pgMar w:top="907" w:right="837" w:bottom="907"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2E" w:rsidRDefault="00C0702E">
      <w:r>
        <w:separator/>
      </w:r>
    </w:p>
  </w:endnote>
  <w:endnote w:type="continuationSeparator" w:id="0">
    <w:p w:rsidR="00C0702E" w:rsidRDefault="00C0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188"/>
      <w:gridCol w:w="5191"/>
    </w:tblGrid>
    <w:tr w:rsidR="00BC10B0">
      <w:tc>
        <w:tcPr>
          <w:tcW w:w="5210" w:type="dxa"/>
          <w:tcBorders>
            <w:top w:val="single" w:sz="4" w:space="0" w:color="auto"/>
            <w:left w:val="nil"/>
            <w:bottom w:val="nil"/>
            <w:right w:val="nil"/>
          </w:tcBorders>
        </w:tcPr>
        <w:p w:rsidR="00BC10B0" w:rsidRPr="00AF23FB" w:rsidRDefault="00BC10B0"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9511CA">
            <w:rPr>
              <w:noProof/>
              <w:sz w:val="16"/>
              <w:szCs w:val="16"/>
            </w:rPr>
            <w:t>2</w:t>
          </w:r>
          <w:r w:rsidRPr="00AF23FB">
            <w:rPr>
              <w:sz w:val="16"/>
              <w:szCs w:val="16"/>
            </w:rPr>
            <w:fldChar w:fldCharType="end"/>
          </w:r>
          <w:r>
            <w:rPr>
              <w:sz w:val="16"/>
              <w:szCs w:val="16"/>
            </w:rPr>
            <w:t xml:space="preserve">             </w:t>
          </w:r>
        </w:p>
      </w:tc>
      <w:tc>
        <w:tcPr>
          <w:tcW w:w="5211" w:type="dxa"/>
          <w:tcBorders>
            <w:top w:val="single" w:sz="4" w:space="0" w:color="auto"/>
            <w:left w:val="nil"/>
            <w:bottom w:val="nil"/>
          </w:tcBorders>
        </w:tcPr>
        <w:p w:rsidR="00BC10B0" w:rsidRPr="00A933FF" w:rsidRDefault="00BC10B0" w:rsidP="00702633">
          <w:pPr>
            <w:spacing w:before="120"/>
            <w:rPr>
              <w:sz w:val="16"/>
              <w:szCs w:val="16"/>
            </w:rPr>
          </w:pPr>
          <w:r>
            <w:rPr>
              <w:sz w:val="16"/>
              <w:szCs w:val="16"/>
            </w:rPr>
            <w:t xml:space="preserve">                                                                        </w:t>
          </w:r>
          <w:r w:rsidR="003B028E">
            <w:rPr>
              <w:sz w:val="16"/>
              <w:szCs w:val="16"/>
            </w:rPr>
            <w:t>SRB</w:t>
          </w:r>
          <w:r w:rsidR="00702633">
            <w:rPr>
              <w:sz w:val="16"/>
              <w:szCs w:val="16"/>
            </w:rPr>
            <w:t>252</w:t>
          </w:r>
          <w:r>
            <w:rPr>
              <w:sz w:val="16"/>
              <w:szCs w:val="16"/>
              <w:lang w:val="sr-Latn-CS"/>
            </w:rPr>
            <w:t xml:space="preserve"> </w:t>
          </w:r>
          <w:r w:rsidR="003B028E">
            <w:rPr>
              <w:sz w:val="16"/>
              <w:szCs w:val="16"/>
              <w:lang w:val="sr-Latn-CS"/>
            </w:rPr>
            <w:t>NR</w:t>
          </w:r>
          <w:r>
            <w:rPr>
              <w:sz w:val="16"/>
              <w:szCs w:val="16"/>
            </w:rPr>
            <w:t>7</w:t>
          </w:r>
          <w:r>
            <w:rPr>
              <w:sz w:val="16"/>
              <w:szCs w:val="16"/>
              <w:lang w:val="sr-Latn-CS"/>
            </w:rPr>
            <w:t>0</w:t>
          </w:r>
          <w:r w:rsidRPr="00AF23FB">
            <w:rPr>
              <w:sz w:val="16"/>
              <w:szCs w:val="16"/>
              <w:lang w:val="sr-Cyrl-CS"/>
            </w:rPr>
            <w:t xml:space="preserve"> </w:t>
          </w:r>
          <w:r>
            <w:rPr>
              <w:sz w:val="16"/>
              <w:szCs w:val="16"/>
              <w:lang w:val="sr-Latn-CS"/>
            </w:rPr>
            <w:t>20</w:t>
          </w:r>
          <w:r>
            <w:rPr>
              <w:sz w:val="16"/>
              <w:szCs w:val="16"/>
            </w:rPr>
            <w:t>09</w:t>
          </w:r>
          <w:r>
            <w:rPr>
              <w:sz w:val="16"/>
              <w:szCs w:val="16"/>
              <w:lang w:val="sr-Cyrl-CS"/>
            </w:rPr>
            <w:t>16</w:t>
          </w:r>
        </w:p>
      </w:tc>
    </w:tr>
  </w:tbl>
  <w:p w:rsidR="00BC10B0" w:rsidRPr="005C58EB" w:rsidRDefault="00BC10B0"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190"/>
      <w:gridCol w:w="5189"/>
    </w:tblGrid>
    <w:tr w:rsidR="00BC10B0">
      <w:tc>
        <w:tcPr>
          <w:tcW w:w="5210" w:type="dxa"/>
          <w:tcBorders>
            <w:top w:val="single" w:sz="4" w:space="0" w:color="auto"/>
            <w:bottom w:val="nil"/>
            <w:right w:val="nil"/>
          </w:tcBorders>
        </w:tcPr>
        <w:p w:rsidR="00BC10B0" w:rsidRPr="00AF23FB" w:rsidRDefault="00BC10B0" w:rsidP="0034201E">
          <w:pPr>
            <w:spacing w:before="120"/>
            <w:rPr>
              <w:sz w:val="16"/>
              <w:szCs w:val="16"/>
              <w:lang w:val="sr-Latn-CS"/>
            </w:rPr>
          </w:pPr>
          <w:r w:rsidRPr="00AF23FB">
            <w:rPr>
              <w:sz w:val="16"/>
              <w:szCs w:val="16"/>
            </w:rPr>
            <w:t>СРБ</w:t>
          </w:r>
          <w:r w:rsidRPr="0034201E">
            <w:rPr>
              <w:sz w:val="16"/>
              <w:szCs w:val="16"/>
              <w:highlight w:val="yellow"/>
            </w:rPr>
            <w:t>306</w:t>
          </w:r>
          <w:r>
            <w:rPr>
              <w:sz w:val="16"/>
              <w:szCs w:val="16"/>
              <w:lang w:val="sr-Cyrl-CS"/>
            </w:rPr>
            <w:t xml:space="preserve"> </w:t>
          </w:r>
          <w:r w:rsidRPr="00AF23FB">
            <w:rPr>
              <w:sz w:val="16"/>
              <w:szCs w:val="16"/>
              <w:lang w:val="sr-Cyrl-CS"/>
            </w:rPr>
            <w:t>НР</w:t>
          </w:r>
          <w:r>
            <w:rPr>
              <w:sz w:val="16"/>
              <w:szCs w:val="16"/>
              <w:lang w:val="sr-Cyrl-CS"/>
            </w:rPr>
            <w:t>7</w:t>
          </w:r>
          <w:r w:rsidRPr="00AF23FB">
            <w:rPr>
              <w:sz w:val="16"/>
              <w:szCs w:val="16"/>
              <w:lang w:val="sr-Cyrl-CS"/>
            </w:rPr>
            <w:t xml:space="preserve">0 </w:t>
          </w:r>
          <w:r>
            <w:rPr>
              <w:sz w:val="16"/>
              <w:szCs w:val="16"/>
              <w:lang w:val="sr-Cyrl-CS"/>
            </w:rPr>
            <w:t>200916</w:t>
          </w:r>
        </w:p>
      </w:tc>
      <w:tc>
        <w:tcPr>
          <w:tcW w:w="5211" w:type="dxa"/>
          <w:tcBorders>
            <w:top w:val="single" w:sz="4" w:space="0" w:color="auto"/>
            <w:left w:val="nil"/>
            <w:bottom w:val="nil"/>
          </w:tcBorders>
        </w:tcPr>
        <w:p w:rsidR="00BC10B0" w:rsidRPr="00AF23FB" w:rsidRDefault="00BC10B0"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047A0B">
            <w:rPr>
              <w:noProof/>
              <w:sz w:val="16"/>
              <w:szCs w:val="16"/>
            </w:rPr>
            <w:t>3</w:t>
          </w:r>
          <w:r w:rsidRPr="00AF23FB">
            <w:rPr>
              <w:sz w:val="16"/>
              <w:szCs w:val="16"/>
            </w:rPr>
            <w:fldChar w:fldCharType="end"/>
          </w:r>
        </w:p>
      </w:tc>
    </w:tr>
  </w:tbl>
  <w:p w:rsidR="00BC10B0" w:rsidRPr="005C58EB" w:rsidRDefault="00BC10B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2E" w:rsidRDefault="00C0702E">
      <w:r>
        <w:separator/>
      </w:r>
    </w:p>
  </w:footnote>
  <w:footnote w:type="continuationSeparator" w:id="0">
    <w:p w:rsidR="00C0702E" w:rsidRDefault="00C0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doNotHyphenateCaps/>
  <w:evenAndOddHeaders/>
  <w:drawingGridHorizontalSpacing w:val="11"/>
  <w:drawingGridVerticalSpacing w:val="1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0071"/>
    <w:rsid w:val="0000063D"/>
    <w:rsid w:val="000034A9"/>
    <w:rsid w:val="000034E4"/>
    <w:rsid w:val="000049E7"/>
    <w:rsid w:val="000053A6"/>
    <w:rsid w:val="00007FBD"/>
    <w:rsid w:val="00013F72"/>
    <w:rsid w:val="00014012"/>
    <w:rsid w:val="0001599D"/>
    <w:rsid w:val="00017AE7"/>
    <w:rsid w:val="00021C9B"/>
    <w:rsid w:val="00023215"/>
    <w:rsid w:val="00023B4C"/>
    <w:rsid w:val="0002498A"/>
    <w:rsid w:val="000261BF"/>
    <w:rsid w:val="000267D7"/>
    <w:rsid w:val="0003083D"/>
    <w:rsid w:val="00034AEC"/>
    <w:rsid w:val="0004045B"/>
    <w:rsid w:val="00040BA0"/>
    <w:rsid w:val="000439EE"/>
    <w:rsid w:val="00043FF5"/>
    <w:rsid w:val="000443BC"/>
    <w:rsid w:val="00046A38"/>
    <w:rsid w:val="000471FF"/>
    <w:rsid w:val="00047A0B"/>
    <w:rsid w:val="0005027C"/>
    <w:rsid w:val="00055943"/>
    <w:rsid w:val="00057A0F"/>
    <w:rsid w:val="00060D51"/>
    <w:rsid w:val="00063B99"/>
    <w:rsid w:val="000664C2"/>
    <w:rsid w:val="00067EB3"/>
    <w:rsid w:val="00071391"/>
    <w:rsid w:val="00071E91"/>
    <w:rsid w:val="00073936"/>
    <w:rsid w:val="000748B0"/>
    <w:rsid w:val="00075881"/>
    <w:rsid w:val="00075992"/>
    <w:rsid w:val="00075B0C"/>
    <w:rsid w:val="000766D4"/>
    <w:rsid w:val="000803DD"/>
    <w:rsid w:val="00087B68"/>
    <w:rsid w:val="0009529F"/>
    <w:rsid w:val="0009771A"/>
    <w:rsid w:val="000A48A2"/>
    <w:rsid w:val="000A50B6"/>
    <w:rsid w:val="000A6A3B"/>
    <w:rsid w:val="000B3802"/>
    <w:rsid w:val="000C1BE1"/>
    <w:rsid w:val="000C1DD3"/>
    <w:rsid w:val="000C4CBC"/>
    <w:rsid w:val="000C7ABF"/>
    <w:rsid w:val="000C7CC4"/>
    <w:rsid w:val="000D087B"/>
    <w:rsid w:val="000D13A0"/>
    <w:rsid w:val="000D2620"/>
    <w:rsid w:val="000D4386"/>
    <w:rsid w:val="000D4726"/>
    <w:rsid w:val="000D53E2"/>
    <w:rsid w:val="000D6957"/>
    <w:rsid w:val="000D7A37"/>
    <w:rsid w:val="000E0B38"/>
    <w:rsid w:val="000E1739"/>
    <w:rsid w:val="000E457C"/>
    <w:rsid w:val="000E4DEF"/>
    <w:rsid w:val="000F0C51"/>
    <w:rsid w:val="000F4AF7"/>
    <w:rsid w:val="000F57B1"/>
    <w:rsid w:val="0010039D"/>
    <w:rsid w:val="001024D8"/>
    <w:rsid w:val="001034CA"/>
    <w:rsid w:val="001057A8"/>
    <w:rsid w:val="00106E57"/>
    <w:rsid w:val="00110976"/>
    <w:rsid w:val="00110F39"/>
    <w:rsid w:val="0011264F"/>
    <w:rsid w:val="001148A4"/>
    <w:rsid w:val="00114F84"/>
    <w:rsid w:val="00120DC5"/>
    <w:rsid w:val="001245F5"/>
    <w:rsid w:val="00124E8D"/>
    <w:rsid w:val="00130CE3"/>
    <w:rsid w:val="00130D77"/>
    <w:rsid w:val="00132AB5"/>
    <w:rsid w:val="00133AC4"/>
    <w:rsid w:val="0014018B"/>
    <w:rsid w:val="00146F50"/>
    <w:rsid w:val="00147CD6"/>
    <w:rsid w:val="00151D72"/>
    <w:rsid w:val="00154340"/>
    <w:rsid w:val="00155451"/>
    <w:rsid w:val="00155E60"/>
    <w:rsid w:val="001577B8"/>
    <w:rsid w:val="00160D2D"/>
    <w:rsid w:val="00161C21"/>
    <w:rsid w:val="00161D65"/>
    <w:rsid w:val="00162FC7"/>
    <w:rsid w:val="0016393C"/>
    <w:rsid w:val="00163ABD"/>
    <w:rsid w:val="00165B24"/>
    <w:rsid w:val="00167D23"/>
    <w:rsid w:val="00172BA5"/>
    <w:rsid w:val="00174C07"/>
    <w:rsid w:val="00174E1D"/>
    <w:rsid w:val="00175E04"/>
    <w:rsid w:val="00176BA3"/>
    <w:rsid w:val="00177684"/>
    <w:rsid w:val="00180434"/>
    <w:rsid w:val="0018121E"/>
    <w:rsid w:val="001815B6"/>
    <w:rsid w:val="0018679C"/>
    <w:rsid w:val="00187945"/>
    <w:rsid w:val="00190E98"/>
    <w:rsid w:val="00191987"/>
    <w:rsid w:val="00194F9C"/>
    <w:rsid w:val="00196304"/>
    <w:rsid w:val="001A2928"/>
    <w:rsid w:val="001A305E"/>
    <w:rsid w:val="001A3FF7"/>
    <w:rsid w:val="001A5008"/>
    <w:rsid w:val="001A77B5"/>
    <w:rsid w:val="001B2E96"/>
    <w:rsid w:val="001B376E"/>
    <w:rsid w:val="001B416B"/>
    <w:rsid w:val="001B4B42"/>
    <w:rsid w:val="001C080E"/>
    <w:rsid w:val="001C094C"/>
    <w:rsid w:val="001C19D0"/>
    <w:rsid w:val="001C23EB"/>
    <w:rsid w:val="001C27CE"/>
    <w:rsid w:val="001C31AD"/>
    <w:rsid w:val="001C3719"/>
    <w:rsid w:val="001C38FC"/>
    <w:rsid w:val="001C53BD"/>
    <w:rsid w:val="001D23DB"/>
    <w:rsid w:val="001D7AEC"/>
    <w:rsid w:val="001E008D"/>
    <w:rsid w:val="001E0342"/>
    <w:rsid w:val="001E1EE7"/>
    <w:rsid w:val="001E2578"/>
    <w:rsid w:val="001F225A"/>
    <w:rsid w:val="001F2E55"/>
    <w:rsid w:val="001F3ABF"/>
    <w:rsid w:val="001F6480"/>
    <w:rsid w:val="002002E6"/>
    <w:rsid w:val="00201EC0"/>
    <w:rsid w:val="00205188"/>
    <w:rsid w:val="00205B73"/>
    <w:rsid w:val="00210AC6"/>
    <w:rsid w:val="00214D2C"/>
    <w:rsid w:val="00220ABD"/>
    <w:rsid w:val="00225696"/>
    <w:rsid w:val="00225B09"/>
    <w:rsid w:val="002314E5"/>
    <w:rsid w:val="00233606"/>
    <w:rsid w:val="002338F2"/>
    <w:rsid w:val="00233D2F"/>
    <w:rsid w:val="00237399"/>
    <w:rsid w:val="00243857"/>
    <w:rsid w:val="00244503"/>
    <w:rsid w:val="00244B26"/>
    <w:rsid w:val="00246009"/>
    <w:rsid w:val="00246177"/>
    <w:rsid w:val="00247186"/>
    <w:rsid w:val="00253EE4"/>
    <w:rsid w:val="00254717"/>
    <w:rsid w:val="00254875"/>
    <w:rsid w:val="00256318"/>
    <w:rsid w:val="00256399"/>
    <w:rsid w:val="002577D1"/>
    <w:rsid w:val="00266953"/>
    <w:rsid w:val="00270CA6"/>
    <w:rsid w:val="00275D4F"/>
    <w:rsid w:val="00277F75"/>
    <w:rsid w:val="002826B6"/>
    <w:rsid w:val="00284F57"/>
    <w:rsid w:val="0028527C"/>
    <w:rsid w:val="00285A7E"/>
    <w:rsid w:val="00285B0F"/>
    <w:rsid w:val="00285FAA"/>
    <w:rsid w:val="0028769D"/>
    <w:rsid w:val="0029008C"/>
    <w:rsid w:val="002961F4"/>
    <w:rsid w:val="002A3110"/>
    <w:rsid w:val="002A709D"/>
    <w:rsid w:val="002A7A06"/>
    <w:rsid w:val="002B54CB"/>
    <w:rsid w:val="002B7024"/>
    <w:rsid w:val="002C2C17"/>
    <w:rsid w:val="002C35A2"/>
    <w:rsid w:val="002C4EC4"/>
    <w:rsid w:val="002C6218"/>
    <w:rsid w:val="002C79A0"/>
    <w:rsid w:val="002D6BA4"/>
    <w:rsid w:val="002E619E"/>
    <w:rsid w:val="002E67FE"/>
    <w:rsid w:val="002E7BD2"/>
    <w:rsid w:val="002F1F25"/>
    <w:rsid w:val="002F31A0"/>
    <w:rsid w:val="002F3B5A"/>
    <w:rsid w:val="002F575B"/>
    <w:rsid w:val="002F723C"/>
    <w:rsid w:val="002F7471"/>
    <w:rsid w:val="003014F9"/>
    <w:rsid w:val="00303366"/>
    <w:rsid w:val="0030344F"/>
    <w:rsid w:val="00305331"/>
    <w:rsid w:val="00307D0B"/>
    <w:rsid w:val="0031163C"/>
    <w:rsid w:val="00314F9F"/>
    <w:rsid w:val="0031664D"/>
    <w:rsid w:val="00326471"/>
    <w:rsid w:val="00334507"/>
    <w:rsid w:val="00335AC3"/>
    <w:rsid w:val="00336BD7"/>
    <w:rsid w:val="00337626"/>
    <w:rsid w:val="00341AE4"/>
    <w:rsid w:val="0034201E"/>
    <w:rsid w:val="00345F38"/>
    <w:rsid w:val="00346534"/>
    <w:rsid w:val="003472A6"/>
    <w:rsid w:val="00350FC0"/>
    <w:rsid w:val="003560F0"/>
    <w:rsid w:val="00357146"/>
    <w:rsid w:val="0036003E"/>
    <w:rsid w:val="00361FB1"/>
    <w:rsid w:val="003620E3"/>
    <w:rsid w:val="00362392"/>
    <w:rsid w:val="00362875"/>
    <w:rsid w:val="0036561A"/>
    <w:rsid w:val="00367ABC"/>
    <w:rsid w:val="003712D8"/>
    <w:rsid w:val="0037335D"/>
    <w:rsid w:val="00374EB9"/>
    <w:rsid w:val="00377573"/>
    <w:rsid w:val="003778DB"/>
    <w:rsid w:val="00377EA2"/>
    <w:rsid w:val="00377F68"/>
    <w:rsid w:val="0038067D"/>
    <w:rsid w:val="00382772"/>
    <w:rsid w:val="003854DA"/>
    <w:rsid w:val="003868DB"/>
    <w:rsid w:val="00386CE6"/>
    <w:rsid w:val="003870B9"/>
    <w:rsid w:val="00390467"/>
    <w:rsid w:val="00390972"/>
    <w:rsid w:val="00392B6B"/>
    <w:rsid w:val="003948EC"/>
    <w:rsid w:val="00395898"/>
    <w:rsid w:val="00395B71"/>
    <w:rsid w:val="003A2F46"/>
    <w:rsid w:val="003A6A88"/>
    <w:rsid w:val="003A742D"/>
    <w:rsid w:val="003B028E"/>
    <w:rsid w:val="003B2484"/>
    <w:rsid w:val="003B2E9E"/>
    <w:rsid w:val="003B3064"/>
    <w:rsid w:val="003B602E"/>
    <w:rsid w:val="003B67AC"/>
    <w:rsid w:val="003C08A8"/>
    <w:rsid w:val="003C4653"/>
    <w:rsid w:val="003C52A9"/>
    <w:rsid w:val="003C5346"/>
    <w:rsid w:val="003C62B2"/>
    <w:rsid w:val="003C6386"/>
    <w:rsid w:val="003C6D85"/>
    <w:rsid w:val="003D37B1"/>
    <w:rsid w:val="003D4FFC"/>
    <w:rsid w:val="003E06F2"/>
    <w:rsid w:val="003E2128"/>
    <w:rsid w:val="003E23E7"/>
    <w:rsid w:val="003E3C34"/>
    <w:rsid w:val="003E6600"/>
    <w:rsid w:val="003F3CB9"/>
    <w:rsid w:val="00400BED"/>
    <w:rsid w:val="00403EF9"/>
    <w:rsid w:val="0041219D"/>
    <w:rsid w:val="00412B5A"/>
    <w:rsid w:val="00413011"/>
    <w:rsid w:val="00413AB8"/>
    <w:rsid w:val="00416599"/>
    <w:rsid w:val="00416D14"/>
    <w:rsid w:val="0041739D"/>
    <w:rsid w:val="004207A1"/>
    <w:rsid w:val="004207D9"/>
    <w:rsid w:val="004221C9"/>
    <w:rsid w:val="00423590"/>
    <w:rsid w:val="0043154C"/>
    <w:rsid w:val="00431CD2"/>
    <w:rsid w:val="00432C00"/>
    <w:rsid w:val="00432F75"/>
    <w:rsid w:val="00433D51"/>
    <w:rsid w:val="00435E65"/>
    <w:rsid w:val="00436886"/>
    <w:rsid w:val="00437370"/>
    <w:rsid w:val="004407EC"/>
    <w:rsid w:val="00441AE6"/>
    <w:rsid w:val="00443CB3"/>
    <w:rsid w:val="0044671B"/>
    <w:rsid w:val="004510FD"/>
    <w:rsid w:val="0045155C"/>
    <w:rsid w:val="00457A57"/>
    <w:rsid w:val="004621A2"/>
    <w:rsid w:val="00462270"/>
    <w:rsid w:val="00462CEE"/>
    <w:rsid w:val="00476072"/>
    <w:rsid w:val="00482144"/>
    <w:rsid w:val="00482895"/>
    <w:rsid w:val="00483205"/>
    <w:rsid w:val="004835AE"/>
    <w:rsid w:val="0049041F"/>
    <w:rsid w:val="00493C46"/>
    <w:rsid w:val="00493CD5"/>
    <w:rsid w:val="004946DA"/>
    <w:rsid w:val="004958A5"/>
    <w:rsid w:val="00495AFE"/>
    <w:rsid w:val="004A189B"/>
    <w:rsid w:val="004A3C5E"/>
    <w:rsid w:val="004A3F92"/>
    <w:rsid w:val="004A4AED"/>
    <w:rsid w:val="004A5992"/>
    <w:rsid w:val="004B0A92"/>
    <w:rsid w:val="004B4CCA"/>
    <w:rsid w:val="004B56AF"/>
    <w:rsid w:val="004B70AC"/>
    <w:rsid w:val="004C2D9B"/>
    <w:rsid w:val="004C39C2"/>
    <w:rsid w:val="004D2A23"/>
    <w:rsid w:val="004D6373"/>
    <w:rsid w:val="004D648E"/>
    <w:rsid w:val="004E0CCB"/>
    <w:rsid w:val="004E266D"/>
    <w:rsid w:val="004E2A2C"/>
    <w:rsid w:val="004E4946"/>
    <w:rsid w:val="004E5ADD"/>
    <w:rsid w:val="004F0F2B"/>
    <w:rsid w:val="004F0F73"/>
    <w:rsid w:val="004F4449"/>
    <w:rsid w:val="004F4876"/>
    <w:rsid w:val="004F4A78"/>
    <w:rsid w:val="004F5075"/>
    <w:rsid w:val="004F5F83"/>
    <w:rsid w:val="004F612F"/>
    <w:rsid w:val="004F62AE"/>
    <w:rsid w:val="00500F5E"/>
    <w:rsid w:val="00502C16"/>
    <w:rsid w:val="00503166"/>
    <w:rsid w:val="005044DC"/>
    <w:rsid w:val="00504807"/>
    <w:rsid w:val="005062DF"/>
    <w:rsid w:val="00507B65"/>
    <w:rsid w:val="0051192E"/>
    <w:rsid w:val="00513FAF"/>
    <w:rsid w:val="00516896"/>
    <w:rsid w:val="0052041A"/>
    <w:rsid w:val="005208E4"/>
    <w:rsid w:val="00520A34"/>
    <w:rsid w:val="00520A8A"/>
    <w:rsid w:val="00520D45"/>
    <w:rsid w:val="0052221E"/>
    <w:rsid w:val="00523EEB"/>
    <w:rsid w:val="005243E8"/>
    <w:rsid w:val="00524691"/>
    <w:rsid w:val="00525404"/>
    <w:rsid w:val="00527173"/>
    <w:rsid w:val="0053192E"/>
    <w:rsid w:val="005452E1"/>
    <w:rsid w:val="00546D94"/>
    <w:rsid w:val="00547280"/>
    <w:rsid w:val="00555901"/>
    <w:rsid w:val="00557DB8"/>
    <w:rsid w:val="005605E2"/>
    <w:rsid w:val="00564063"/>
    <w:rsid w:val="00567ABC"/>
    <w:rsid w:val="005767A6"/>
    <w:rsid w:val="005778AD"/>
    <w:rsid w:val="0058196E"/>
    <w:rsid w:val="005831F5"/>
    <w:rsid w:val="00585FCA"/>
    <w:rsid w:val="00586A1B"/>
    <w:rsid w:val="00591F3B"/>
    <w:rsid w:val="00592C13"/>
    <w:rsid w:val="00592C9A"/>
    <w:rsid w:val="00596A18"/>
    <w:rsid w:val="00597702"/>
    <w:rsid w:val="005A73C2"/>
    <w:rsid w:val="005A744B"/>
    <w:rsid w:val="005B323C"/>
    <w:rsid w:val="005B4789"/>
    <w:rsid w:val="005B519F"/>
    <w:rsid w:val="005B5520"/>
    <w:rsid w:val="005B6E72"/>
    <w:rsid w:val="005C10E4"/>
    <w:rsid w:val="005C4034"/>
    <w:rsid w:val="005C40DD"/>
    <w:rsid w:val="005C58EB"/>
    <w:rsid w:val="005D2746"/>
    <w:rsid w:val="005E1D06"/>
    <w:rsid w:val="005E75B7"/>
    <w:rsid w:val="005F0791"/>
    <w:rsid w:val="005F408E"/>
    <w:rsid w:val="005F68E1"/>
    <w:rsid w:val="005F6D50"/>
    <w:rsid w:val="005F706E"/>
    <w:rsid w:val="006024D6"/>
    <w:rsid w:val="00604C76"/>
    <w:rsid w:val="00607B97"/>
    <w:rsid w:val="00611B35"/>
    <w:rsid w:val="00613595"/>
    <w:rsid w:val="00614C60"/>
    <w:rsid w:val="006203B1"/>
    <w:rsid w:val="00620BE5"/>
    <w:rsid w:val="00624AE1"/>
    <w:rsid w:val="00626DB8"/>
    <w:rsid w:val="006272D3"/>
    <w:rsid w:val="00627E99"/>
    <w:rsid w:val="0063299A"/>
    <w:rsid w:val="006351F0"/>
    <w:rsid w:val="006442D1"/>
    <w:rsid w:val="00646A6B"/>
    <w:rsid w:val="00646AAE"/>
    <w:rsid w:val="00651333"/>
    <w:rsid w:val="006519DA"/>
    <w:rsid w:val="00655270"/>
    <w:rsid w:val="00655C6C"/>
    <w:rsid w:val="00657CCE"/>
    <w:rsid w:val="006605B8"/>
    <w:rsid w:val="00662ABE"/>
    <w:rsid w:val="006669BD"/>
    <w:rsid w:val="0067052F"/>
    <w:rsid w:val="006707A4"/>
    <w:rsid w:val="0067119B"/>
    <w:rsid w:val="00672093"/>
    <w:rsid w:val="0067357E"/>
    <w:rsid w:val="0067636C"/>
    <w:rsid w:val="00676E1B"/>
    <w:rsid w:val="00677A51"/>
    <w:rsid w:val="00686FCA"/>
    <w:rsid w:val="00687AA9"/>
    <w:rsid w:val="00687D62"/>
    <w:rsid w:val="006907C1"/>
    <w:rsid w:val="00690999"/>
    <w:rsid w:val="00690DF8"/>
    <w:rsid w:val="00692DC4"/>
    <w:rsid w:val="00694D9C"/>
    <w:rsid w:val="00697BF7"/>
    <w:rsid w:val="006A40AB"/>
    <w:rsid w:val="006A55B9"/>
    <w:rsid w:val="006A7E8E"/>
    <w:rsid w:val="006B4529"/>
    <w:rsid w:val="006B4D05"/>
    <w:rsid w:val="006B5271"/>
    <w:rsid w:val="006B52DB"/>
    <w:rsid w:val="006B5A54"/>
    <w:rsid w:val="006B7517"/>
    <w:rsid w:val="006B7937"/>
    <w:rsid w:val="006C078D"/>
    <w:rsid w:val="006C50F2"/>
    <w:rsid w:val="006C7C18"/>
    <w:rsid w:val="006D01D0"/>
    <w:rsid w:val="006D15A0"/>
    <w:rsid w:val="006D362E"/>
    <w:rsid w:val="006D4523"/>
    <w:rsid w:val="006D50C8"/>
    <w:rsid w:val="006E29DE"/>
    <w:rsid w:val="006E3135"/>
    <w:rsid w:val="006E4AD6"/>
    <w:rsid w:val="006E5DB8"/>
    <w:rsid w:val="006E653F"/>
    <w:rsid w:val="006E6B4C"/>
    <w:rsid w:val="006E7AF4"/>
    <w:rsid w:val="006F19F9"/>
    <w:rsid w:val="006F35D2"/>
    <w:rsid w:val="006F4F1C"/>
    <w:rsid w:val="006F7059"/>
    <w:rsid w:val="006F712C"/>
    <w:rsid w:val="00702633"/>
    <w:rsid w:val="00704508"/>
    <w:rsid w:val="00706F55"/>
    <w:rsid w:val="00707A41"/>
    <w:rsid w:val="00707AE9"/>
    <w:rsid w:val="0071482E"/>
    <w:rsid w:val="007241C6"/>
    <w:rsid w:val="007251CE"/>
    <w:rsid w:val="00725E63"/>
    <w:rsid w:val="00726C84"/>
    <w:rsid w:val="00730B71"/>
    <w:rsid w:val="0073113A"/>
    <w:rsid w:val="007312D6"/>
    <w:rsid w:val="007327DD"/>
    <w:rsid w:val="007430BB"/>
    <w:rsid w:val="007431B3"/>
    <w:rsid w:val="00743FDD"/>
    <w:rsid w:val="00744A70"/>
    <w:rsid w:val="00750CA0"/>
    <w:rsid w:val="007513E5"/>
    <w:rsid w:val="00751B92"/>
    <w:rsid w:val="00751EC2"/>
    <w:rsid w:val="00752E82"/>
    <w:rsid w:val="00754837"/>
    <w:rsid w:val="0075497F"/>
    <w:rsid w:val="00760A57"/>
    <w:rsid w:val="00767C6C"/>
    <w:rsid w:val="007706EE"/>
    <w:rsid w:val="0077107B"/>
    <w:rsid w:val="0077161C"/>
    <w:rsid w:val="0077734A"/>
    <w:rsid w:val="007848D2"/>
    <w:rsid w:val="00785B62"/>
    <w:rsid w:val="00787581"/>
    <w:rsid w:val="00791F5B"/>
    <w:rsid w:val="00793124"/>
    <w:rsid w:val="00794431"/>
    <w:rsid w:val="00796D48"/>
    <w:rsid w:val="007A09A8"/>
    <w:rsid w:val="007A1F5A"/>
    <w:rsid w:val="007A231F"/>
    <w:rsid w:val="007A4A07"/>
    <w:rsid w:val="007A4DA9"/>
    <w:rsid w:val="007A551E"/>
    <w:rsid w:val="007B2F2C"/>
    <w:rsid w:val="007C07D3"/>
    <w:rsid w:val="007C4D1D"/>
    <w:rsid w:val="007C4DE7"/>
    <w:rsid w:val="007C56DA"/>
    <w:rsid w:val="007C689F"/>
    <w:rsid w:val="007D3AA8"/>
    <w:rsid w:val="007D4AF9"/>
    <w:rsid w:val="007D7BD4"/>
    <w:rsid w:val="007E2A9A"/>
    <w:rsid w:val="007E2BD1"/>
    <w:rsid w:val="007E3FD2"/>
    <w:rsid w:val="007E4E6C"/>
    <w:rsid w:val="007E6E68"/>
    <w:rsid w:val="007F058D"/>
    <w:rsid w:val="007F1EB5"/>
    <w:rsid w:val="007F2E03"/>
    <w:rsid w:val="007F34C8"/>
    <w:rsid w:val="007F5A19"/>
    <w:rsid w:val="007F5E27"/>
    <w:rsid w:val="007F63EA"/>
    <w:rsid w:val="008033B8"/>
    <w:rsid w:val="008114A9"/>
    <w:rsid w:val="008118E2"/>
    <w:rsid w:val="00811CA6"/>
    <w:rsid w:val="0081236A"/>
    <w:rsid w:val="00812EC1"/>
    <w:rsid w:val="00813621"/>
    <w:rsid w:val="00813DB7"/>
    <w:rsid w:val="0081435B"/>
    <w:rsid w:val="00814B4C"/>
    <w:rsid w:val="008174D7"/>
    <w:rsid w:val="00821B3B"/>
    <w:rsid w:val="00822B8D"/>
    <w:rsid w:val="00822CBB"/>
    <w:rsid w:val="008278B9"/>
    <w:rsid w:val="008336CD"/>
    <w:rsid w:val="00833DCA"/>
    <w:rsid w:val="00840E5A"/>
    <w:rsid w:val="00842531"/>
    <w:rsid w:val="0084253A"/>
    <w:rsid w:val="00845491"/>
    <w:rsid w:val="00850DA0"/>
    <w:rsid w:val="00851B2B"/>
    <w:rsid w:val="00856A49"/>
    <w:rsid w:val="008577B3"/>
    <w:rsid w:val="008648F8"/>
    <w:rsid w:val="00865950"/>
    <w:rsid w:val="0087146C"/>
    <w:rsid w:val="008728C7"/>
    <w:rsid w:val="00872DF7"/>
    <w:rsid w:val="008740AE"/>
    <w:rsid w:val="00875065"/>
    <w:rsid w:val="008776C0"/>
    <w:rsid w:val="00882629"/>
    <w:rsid w:val="008863BD"/>
    <w:rsid w:val="0089187A"/>
    <w:rsid w:val="00892C0C"/>
    <w:rsid w:val="008A2E23"/>
    <w:rsid w:val="008A3BAB"/>
    <w:rsid w:val="008A54FD"/>
    <w:rsid w:val="008B5159"/>
    <w:rsid w:val="008B6E10"/>
    <w:rsid w:val="008C22D5"/>
    <w:rsid w:val="008C3B72"/>
    <w:rsid w:val="008C44B8"/>
    <w:rsid w:val="008D0328"/>
    <w:rsid w:val="008D2841"/>
    <w:rsid w:val="008D5806"/>
    <w:rsid w:val="008D69F1"/>
    <w:rsid w:val="008E0361"/>
    <w:rsid w:val="008E2125"/>
    <w:rsid w:val="008E501D"/>
    <w:rsid w:val="008E54FC"/>
    <w:rsid w:val="008E5FDA"/>
    <w:rsid w:val="008E7A21"/>
    <w:rsid w:val="008F4410"/>
    <w:rsid w:val="008F7BD8"/>
    <w:rsid w:val="00903DE7"/>
    <w:rsid w:val="00904BEC"/>
    <w:rsid w:val="0090577F"/>
    <w:rsid w:val="00906511"/>
    <w:rsid w:val="0090718B"/>
    <w:rsid w:val="00910446"/>
    <w:rsid w:val="00913607"/>
    <w:rsid w:val="00920F5C"/>
    <w:rsid w:val="0092477D"/>
    <w:rsid w:val="00925410"/>
    <w:rsid w:val="009324E6"/>
    <w:rsid w:val="009328A6"/>
    <w:rsid w:val="009338BC"/>
    <w:rsid w:val="00935F76"/>
    <w:rsid w:val="0093660D"/>
    <w:rsid w:val="00936FD5"/>
    <w:rsid w:val="0094078A"/>
    <w:rsid w:val="00940DEA"/>
    <w:rsid w:val="00941E16"/>
    <w:rsid w:val="00946629"/>
    <w:rsid w:val="00946A00"/>
    <w:rsid w:val="00950772"/>
    <w:rsid w:val="009511CA"/>
    <w:rsid w:val="00952142"/>
    <w:rsid w:val="009524C3"/>
    <w:rsid w:val="00952F3D"/>
    <w:rsid w:val="00953B72"/>
    <w:rsid w:val="00955404"/>
    <w:rsid w:val="00957B6A"/>
    <w:rsid w:val="009640F2"/>
    <w:rsid w:val="0096647B"/>
    <w:rsid w:val="00973F22"/>
    <w:rsid w:val="00980896"/>
    <w:rsid w:val="009822A0"/>
    <w:rsid w:val="00983FA1"/>
    <w:rsid w:val="00984A89"/>
    <w:rsid w:val="0098501D"/>
    <w:rsid w:val="00986DC1"/>
    <w:rsid w:val="009917E3"/>
    <w:rsid w:val="00994413"/>
    <w:rsid w:val="009953DA"/>
    <w:rsid w:val="00996FBB"/>
    <w:rsid w:val="009973F7"/>
    <w:rsid w:val="00997843"/>
    <w:rsid w:val="009A31E3"/>
    <w:rsid w:val="009A39DC"/>
    <w:rsid w:val="009A3AEC"/>
    <w:rsid w:val="009A408C"/>
    <w:rsid w:val="009A62C9"/>
    <w:rsid w:val="009A716E"/>
    <w:rsid w:val="009B0771"/>
    <w:rsid w:val="009B4400"/>
    <w:rsid w:val="009B74D1"/>
    <w:rsid w:val="009C06F4"/>
    <w:rsid w:val="009C5794"/>
    <w:rsid w:val="009D28E8"/>
    <w:rsid w:val="009D2F49"/>
    <w:rsid w:val="009D3151"/>
    <w:rsid w:val="009D4E86"/>
    <w:rsid w:val="009D648E"/>
    <w:rsid w:val="009E2639"/>
    <w:rsid w:val="009E336C"/>
    <w:rsid w:val="009E4B29"/>
    <w:rsid w:val="009E4CF4"/>
    <w:rsid w:val="009E4F9B"/>
    <w:rsid w:val="009F11AD"/>
    <w:rsid w:val="009F14F0"/>
    <w:rsid w:val="009F3A4A"/>
    <w:rsid w:val="009F7393"/>
    <w:rsid w:val="00A01C8B"/>
    <w:rsid w:val="00A01E04"/>
    <w:rsid w:val="00A061C6"/>
    <w:rsid w:val="00A16495"/>
    <w:rsid w:val="00A1772E"/>
    <w:rsid w:val="00A20D67"/>
    <w:rsid w:val="00A21344"/>
    <w:rsid w:val="00A25E54"/>
    <w:rsid w:val="00A317E7"/>
    <w:rsid w:val="00A3324A"/>
    <w:rsid w:val="00A41200"/>
    <w:rsid w:val="00A50B8E"/>
    <w:rsid w:val="00A55339"/>
    <w:rsid w:val="00A56CB2"/>
    <w:rsid w:val="00A605C7"/>
    <w:rsid w:val="00A61C2D"/>
    <w:rsid w:val="00A62452"/>
    <w:rsid w:val="00A62EC1"/>
    <w:rsid w:val="00A7074E"/>
    <w:rsid w:val="00A7271D"/>
    <w:rsid w:val="00A74C66"/>
    <w:rsid w:val="00A7556A"/>
    <w:rsid w:val="00A75CF8"/>
    <w:rsid w:val="00A764C6"/>
    <w:rsid w:val="00A82348"/>
    <w:rsid w:val="00A84CB0"/>
    <w:rsid w:val="00A84F98"/>
    <w:rsid w:val="00A9046A"/>
    <w:rsid w:val="00A91736"/>
    <w:rsid w:val="00A921D9"/>
    <w:rsid w:val="00A92638"/>
    <w:rsid w:val="00A929A5"/>
    <w:rsid w:val="00A933FF"/>
    <w:rsid w:val="00A93E93"/>
    <w:rsid w:val="00A950A0"/>
    <w:rsid w:val="00AA0E77"/>
    <w:rsid w:val="00AA3865"/>
    <w:rsid w:val="00AA49E8"/>
    <w:rsid w:val="00AA54DC"/>
    <w:rsid w:val="00AA6448"/>
    <w:rsid w:val="00AA65BB"/>
    <w:rsid w:val="00AB145E"/>
    <w:rsid w:val="00AC3594"/>
    <w:rsid w:val="00AC43D9"/>
    <w:rsid w:val="00AC467A"/>
    <w:rsid w:val="00AC703A"/>
    <w:rsid w:val="00AD15BC"/>
    <w:rsid w:val="00AD15E1"/>
    <w:rsid w:val="00AD1BB9"/>
    <w:rsid w:val="00AD2E5F"/>
    <w:rsid w:val="00AD3085"/>
    <w:rsid w:val="00AE26C6"/>
    <w:rsid w:val="00AE2ACD"/>
    <w:rsid w:val="00AE36EB"/>
    <w:rsid w:val="00AE4134"/>
    <w:rsid w:val="00AE4E8D"/>
    <w:rsid w:val="00AF15E8"/>
    <w:rsid w:val="00AF23FB"/>
    <w:rsid w:val="00B02624"/>
    <w:rsid w:val="00B02D0F"/>
    <w:rsid w:val="00B04842"/>
    <w:rsid w:val="00B10168"/>
    <w:rsid w:val="00B10603"/>
    <w:rsid w:val="00B130CC"/>
    <w:rsid w:val="00B156EF"/>
    <w:rsid w:val="00B17B15"/>
    <w:rsid w:val="00B211BF"/>
    <w:rsid w:val="00B22014"/>
    <w:rsid w:val="00B23848"/>
    <w:rsid w:val="00B244DC"/>
    <w:rsid w:val="00B26B75"/>
    <w:rsid w:val="00B27091"/>
    <w:rsid w:val="00B2795C"/>
    <w:rsid w:val="00B27B49"/>
    <w:rsid w:val="00B30C50"/>
    <w:rsid w:val="00B32073"/>
    <w:rsid w:val="00B32A22"/>
    <w:rsid w:val="00B34198"/>
    <w:rsid w:val="00B35F2A"/>
    <w:rsid w:val="00B36A95"/>
    <w:rsid w:val="00B4577D"/>
    <w:rsid w:val="00B4700B"/>
    <w:rsid w:val="00B4738A"/>
    <w:rsid w:val="00B47D63"/>
    <w:rsid w:val="00B50286"/>
    <w:rsid w:val="00B55D7E"/>
    <w:rsid w:val="00B62F12"/>
    <w:rsid w:val="00B63455"/>
    <w:rsid w:val="00B634A6"/>
    <w:rsid w:val="00B64573"/>
    <w:rsid w:val="00B65ABB"/>
    <w:rsid w:val="00B71FD5"/>
    <w:rsid w:val="00B7661A"/>
    <w:rsid w:val="00B8306B"/>
    <w:rsid w:val="00B8650C"/>
    <w:rsid w:val="00B86A39"/>
    <w:rsid w:val="00B8779F"/>
    <w:rsid w:val="00B910D8"/>
    <w:rsid w:val="00B916A3"/>
    <w:rsid w:val="00B95D85"/>
    <w:rsid w:val="00B967F5"/>
    <w:rsid w:val="00BA2A4A"/>
    <w:rsid w:val="00BA4D95"/>
    <w:rsid w:val="00BA50A8"/>
    <w:rsid w:val="00BA6296"/>
    <w:rsid w:val="00BA6321"/>
    <w:rsid w:val="00BB0A71"/>
    <w:rsid w:val="00BB38EB"/>
    <w:rsid w:val="00BB5F77"/>
    <w:rsid w:val="00BB6A8F"/>
    <w:rsid w:val="00BB6FEE"/>
    <w:rsid w:val="00BC10B0"/>
    <w:rsid w:val="00BC5169"/>
    <w:rsid w:val="00BC5F23"/>
    <w:rsid w:val="00BC6A3E"/>
    <w:rsid w:val="00BC7440"/>
    <w:rsid w:val="00BE0489"/>
    <w:rsid w:val="00BE366A"/>
    <w:rsid w:val="00C01377"/>
    <w:rsid w:val="00C0316A"/>
    <w:rsid w:val="00C031FA"/>
    <w:rsid w:val="00C0539B"/>
    <w:rsid w:val="00C0702E"/>
    <w:rsid w:val="00C12159"/>
    <w:rsid w:val="00C1239A"/>
    <w:rsid w:val="00C127A9"/>
    <w:rsid w:val="00C13D19"/>
    <w:rsid w:val="00C149A4"/>
    <w:rsid w:val="00C14CCA"/>
    <w:rsid w:val="00C16831"/>
    <w:rsid w:val="00C17FF1"/>
    <w:rsid w:val="00C2415C"/>
    <w:rsid w:val="00C25926"/>
    <w:rsid w:val="00C27E77"/>
    <w:rsid w:val="00C31057"/>
    <w:rsid w:val="00C32AA1"/>
    <w:rsid w:val="00C3359D"/>
    <w:rsid w:val="00C37F67"/>
    <w:rsid w:val="00C418F4"/>
    <w:rsid w:val="00C42A23"/>
    <w:rsid w:val="00C52B20"/>
    <w:rsid w:val="00C5318A"/>
    <w:rsid w:val="00C63242"/>
    <w:rsid w:val="00C6412F"/>
    <w:rsid w:val="00C66CF1"/>
    <w:rsid w:val="00C67855"/>
    <w:rsid w:val="00C71557"/>
    <w:rsid w:val="00C7452A"/>
    <w:rsid w:val="00C748FB"/>
    <w:rsid w:val="00C76AC2"/>
    <w:rsid w:val="00C82551"/>
    <w:rsid w:val="00C962F3"/>
    <w:rsid w:val="00C9704D"/>
    <w:rsid w:val="00CA16B2"/>
    <w:rsid w:val="00CA4CE3"/>
    <w:rsid w:val="00CA57E2"/>
    <w:rsid w:val="00CA666A"/>
    <w:rsid w:val="00CA78C3"/>
    <w:rsid w:val="00CB1976"/>
    <w:rsid w:val="00CB3327"/>
    <w:rsid w:val="00CC248D"/>
    <w:rsid w:val="00CC2991"/>
    <w:rsid w:val="00CC54BD"/>
    <w:rsid w:val="00CD02EA"/>
    <w:rsid w:val="00CD40C9"/>
    <w:rsid w:val="00CD60E5"/>
    <w:rsid w:val="00CD66CF"/>
    <w:rsid w:val="00CD6DB8"/>
    <w:rsid w:val="00CE17DA"/>
    <w:rsid w:val="00CE1979"/>
    <w:rsid w:val="00CE27F3"/>
    <w:rsid w:val="00CE386F"/>
    <w:rsid w:val="00CE435A"/>
    <w:rsid w:val="00CE7EC0"/>
    <w:rsid w:val="00CF06F2"/>
    <w:rsid w:val="00CF1A40"/>
    <w:rsid w:val="00CF20F9"/>
    <w:rsid w:val="00CF261A"/>
    <w:rsid w:val="00CF74C4"/>
    <w:rsid w:val="00D00005"/>
    <w:rsid w:val="00D0102A"/>
    <w:rsid w:val="00D02A56"/>
    <w:rsid w:val="00D03324"/>
    <w:rsid w:val="00D035E1"/>
    <w:rsid w:val="00D04553"/>
    <w:rsid w:val="00D04A93"/>
    <w:rsid w:val="00D075D6"/>
    <w:rsid w:val="00D124E5"/>
    <w:rsid w:val="00D14A65"/>
    <w:rsid w:val="00D15375"/>
    <w:rsid w:val="00D15AAF"/>
    <w:rsid w:val="00D20DCB"/>
    <w:rsid w:val="00D21338"/>
    <w:rsid w:val="00D25FB4"/>
    <w:rsid w:val="00D3084A"/>
    <w:rsid w:val="00D32C5D"/>
    <w:rsid w:val="00D3344E"/>
    <w:rsid w:val="00D36AB4"/>
    <w:rsid w:val="00D44043"/>
    <w:rsid w:val="00D44BC1"/>
    <w:rsid w:val="00D540A8"/>
    <w:rsid w:val="00D5713A"/>
    <w:rsid w:val="00D62BD9"/>
    <w:rsid w:val="00D6629C"/>
    <w:rsid w:val="00D66EB9"/>
    <w:rsid w:val="00D72576"/>
    <w:rsid w:val="00D733D4"/>
    <w:rsid w:val="00D76DD4"/>
    <w:rsid w:val="00D810FE"/>
    <w:rsid w:val="00D828F8"/>
    <w:rsid w:val="00D84187"/>
    <w:rsid w:val="00D853A4"/>
    <w:rsid w:val="00D90437"/>
    <w:rsid w:val="00D91C92"/>
    <w:rsid w:val="00D92EE0"/>
    <w:rsid w:val="00D93DA8"/>
    <w:rsid w:val="00D940AD"/>
    <w:rsid w:val="00D948C3"/>
    <w:rsid w:val="00D95B1D"/>
    <w:rsid w:val="00D97025"/>
    <w:rsid w:val="00DA14AE"/>
    <w:rsid w:val="00DA7C0E"/>
    <w:rsid w:val="00DB2B73"/>
    <w:rsid w:val="00DB3213"/>
    <w:rsid w:val="00DB3350"/>
    <w:rsid w:val="00DB36B5"/>
    <w:rsid w:val="00DB3E56"/>
    <w:rsid w:val="00DB7477"/>
    <w:rsid w:val="00DC38CB"/>
    <w:rsid w:val="00DC3BE0"/>
    <w:rsid w:val="00DC695B"/>
    <w:rsid w:val="00DD0C1B"/>
    <w:rsid w:val="00DD27B3"/>
    <w:rsid w:val="00DD3E95"/>
    <w:rsid w:val="00DD46E1"/>
    <w:rsid w:val="00DD676A"/>
    <w:rsid w:val="00DE1737"/>
    <w:rsid w:val="00DE1752"/>
    <w:rsid w:val="00DF0777"/>
    <w:rsid w:val="00DF4A7D"/>
    <w:rsid w:val="00DF608C"/>
    <w:rsid w:val="00DF7733"/>
    <w:rsid w:val="00DF776C"/>
    <w:rsid w:val="00E01306"/>
    <w:rsid w:val="00E059C8"/>
    <w:rsid w:val="00E0629B"/>
    <w:rsid w:val="00E15256"/>
    <w:rsid w:val="00E15D1F"/>
    <w:rsid w:val="00E15F89"/>
    <w:rsid w:val="00E1689F"/>
    <w:rsid w:val="00E17591"/>
    <w:rsid w:val="00E20C16"/>
    <w:rsid w:val="00E21E5F"/>
    <w:rsid w:val="00E22DB5"/>
    <w:rsid w:val="00E34C75"/>
    <w:rsid w:val="00E35BAC"/>
    <w:rsid w:val="00E370DF"/>
    <w:rsid w:val="00E43E4A"/>
    <w:rsid w:val="00E468B9"/>
    <w:rsid w:val="00E46D77"/>
    <w:rsid w:val="00E52199"/>
    <w:rsid w:val="00E540AC"/>
    <w:rsid w:val="00E558B9"/>
    <w:rsid w:val="00E55DD4"/>
    <w:rsid w:val="00E60AB2"/>
    <w:rsid w:val="00E60CE4"/>
    <w:rsid w:val="00E610E9"/>
    <w:rsid w:val="00E63062"/>
    <w:rsid w:val="00E6399C"/>
    <w:rsid w:val="00E63DCD"/>
    <w:rsid w:val="00E654D8"/>
    <w:rsid w:val="00E66F62"/>
    <w:rsid w:val="00E67436"/>
    <w:rsid w:val="00E70E1F"/>
    <w:rsid w:val="00E7696B"/>
    <w:rsid w:val="00E77F09"/>
    <w:rsid w:val="00E8580D"/>
    <w:rsid w:val="00E85DB4"/>
    <w:rsid w:val="00E86DAD"/>
    <w:rsid w:val="00E90670"/>
    <w:rsid w:val="00E90DDD"/>
    <w:rsid w:val="00E923B9"/>
    <w:rsid w:val="00E929B7"/>
    <w:rsid w:val="00E93085"/>
    <w:rsid w:val="00EA017B"/>
    <w:rsid w:val="00EA3EE4"/>
    <w:rsid w:val="00EA7C4C"/>
    <w:rsid w:val="00EB2BE5"/>
    <w:rsid w:val="00EC3833"/>
    <w:rsid w:val="00EC3DE6"/>
    <w:rsid w:val="00EC3FD1"/>
    <w:rsid w:val="00EC4F79"/>
    <w:rsid w:val="00EC5CDC"/>
    <w:rsid w:val="00ED1D99"/>
    <w:rsid w:val="00ED68B8"/>
    <w:rsid w:val="00ED6916"/>
    <w:rsid w:val="00EE0EB2"/>
    <w:rsid w:val="00EE1B0B"/>
    <w:rsid w:val="00EE1FAD"/>
    <w:rsid w:val="00EE45D5"/>
    <w:rsid w:val="00EE6026"/>
    <w:rsid w:val="00EF29A3"/>
    <w:rsid w:val="00EF3E24"/>
    <w:rsid w:val="00EF554A"/>
    <w:rsid w:val="00EF72A9"/>
    <w:rsid w:val="00F04662"/>
    <w:rsid w:val="00F17AB2"/>
    <w:rsid w:val="00F17C85"/>
    <w:rsid w:val="00F210D6"/>
    <w:rsid w:val="00F263F2"/>
    <w:rsid w:val="00F27D4C"/>
    <w:rsid w:val="00F300A3"/>
    <w:rsid w:val="00F30233"/>
    <w:rsid w:val="00F31BC5"/>
    <w:rsid w:val="00F3776D"/>
    <w:rsid w:val="00F400C1"/>
    <w:rsid w:val="00F409D1"/>
    <w:rsid w:val="00F431D7"/>
    <w:rsid w:val="00F437F1"/>
    <w:rsid w:val="00F46726"/>
    <w:rsid w:val="00F50635"/>
    <w:rsid w:val="00F50C5A"/>
    <w:rsid w:val="00F554F4"/>
    <w:rsid w:val="00F57F01"/>
    <w:rsid w:val="00F612C9"/>
    <w:rsid w:val="00F62DCE"/>
    <w:rsid w:val="00F63F85"/>
    <w:rsid w:val="00F6719C"/>
    <w:rsid w:val="00F679E2"/>
    <w:rsid w:val="00F74992"/>
    <w:rsid w:val="00F75645"/>
    <w:rsid w:val="00F801A0"/>
    <w:rsid w:val="00F820E0"/>
    <w:rsid w:val="00F82589"/>
    <w:rsid w:val="00F86959"/>
    <w:rsid w:val="00F916A6"/>
    <w:rsid w:val="00F91DB7"/>
    <w:rsid w:val="00F959D5"/>
    <w:rsid w:val="00FA21E5"/>
    <w:rsid w:val="00FA43A1"/>
    <w:rsid w:val="00FA46FA"/>
    <w:rsid w:val="00FA5683"/>
    <w:rsid w:val="00FB10F0"/>
    <w:rsid w:val="00FB1DAF"/>
    <w:rsid w:val="00FB4944"/>
    <w:rsid w:val="00FB55F1"/>
    <w:rsid w:val="00FC021A"/>
    <w:rsid w:val="00FC0824"/>
    <w:rsid w:val="00FC56CB"/>
    <w:rsid w:val="00FD3731"/>
    <w:rsid w:val="00FE04B4"/>
    <w:rsid w:val="00FE0F7A"/>
    <w:rsid w:val="00FE2ACF"/>
    <w:rsid w:val="00FE3B0F"/>
    <w:rsid w:val="00FE7F09"/>
    <w:rsid w:val="00FF037E"/>
    <w:rsid w:val="00FF3BEC"/>
    <w:rsid w:val="00FF4228"/>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6C6"/>
    <w:rPr>
      <w:rFonts w:ascii="Arial" w:hAnsi="Arial" w:cs="Arial"/>
      <w:lang w:val="en-GB"/>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lang w:val="x-none" w:eastAsia="x-none"/>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lang w:val="x-none" w:eastAsia="x-none"/>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lang w:val="x-none" w:eastAsia="x-none"/>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lang w:val="x-none" w:eastAsia="x-none"/>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lang w:val="x-none" w:eastAsia="x-none"/>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lang w:val="x-none" w:eastAsia="x-none"/>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lang w:val="x-none" w:eastAsia="x-none"/>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lang w:val="x-none" w:eastAsia="x-none"/>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lang w:val="x-none" w:eastAsia="x-none"/>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lang w:val="x-none" w:eastAsia="x-none"/>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rsid w:val="00D075D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rPr>
      <w:rFonts w:ascii="Arial" w:hAnsi="Arial"/>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lang w:val="x-none" w:eastAsia="x-none"/>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lang w:val="x-none" w:eastAsia="x-none"/>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lang w:val="x-none" w:eastAsia="x-none"/>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 w:type="paragraph" w:styleId="DocumentMap">
    <w:name w:val="Document Map"/>
    <w:basedOn w:val="Normal"/>
    <w:semiHidden/>
    <w:rsid w:val="001A305E"/>
    <w:pPr>
      <w:shd w:val="clear" w:color="auto" w:fill="000080"/>
    </w:pPr>
    <w:rPr>
      <w:rFonts w:ascii="Tahoma" w:hAnsi="Tahoma" w:cs="Tahoma"/>
    </w:rPr>
  </w:style>
  <w:style w:type="paragraph" w:styleId="NormalWeb">
    <w:name w:val="Normal (Web)"/>
    <w:basedOn w:val="Normal"/>
    <w:uiPriority w:val="99"/>
    <w:unhideWhenUsed/>
    <w:rsid w:val="0002498A"/>
    <w:pPr>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rsid w:val="008A3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6C6"/>
    <w:rPr>
      <w:rFonts w:ascii="Arial" w:hAnsi="Arial" w:cs="Arial"/>
      <w:lang w:val="en-GB"/>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lang w:val="x-none" w:eastAsia="x-none"/>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lang w:val="x-none" w:eastAsia="x-none"/>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lang w:val="x-none" w:eastAsia="x-none"/>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lang w:val="x-none" w:eastAsia="x-none"/>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lang w:val="x-none" w:eastAsia="x-none"/>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lang w:val="x-none" w:eastAsia="x-none"/>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lang w:val="x-none" w:eastAsia="x-none"/>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lang w:val="x-none" w:eastAsia="x-none"/>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lang w:val="x-none" w:eastAsia="x-none"/>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lang w:val="x-none" w:eastAsia="x-none"/>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rsid w:val="00D075D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rPr>
      <w:rFonts w:ascii="Arial" w:hAnsi="Arial"/>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lang w:val="x-none" w:eastAsia="x-none"/>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lang w:val="x-none" w:eastAsia="x-none"/>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lang w:val="x-none" w:eastAsia="x-none"/>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 w:type="paragraph" w:styleId="DocumentMap">
    <w:name w:val="Document Map"/>
    <w:basedOn w:val="Normal"/>
    <w:semiHidden/>
    <w:rsid w:val="001A305E"/>
    <w:pPr>
      <w:shd w:val="clear" w:color="auto" w:fill="000080"/>
    </w:pPr>
    <w:rPr>
      <w:rFonts w:ascii="Tahoma" w:hAnsi="Tahoma" w:cs="Tahoma"/>
    </w:rPr>
  </w:style>
  <w:style w:type="paragraph" w:styleId="NormalWeb">
    <w:name w:val="Normal (Web)"/>
    <w:basedOn w:val="Normal"/>
    <w:uiPriority w:val="99"/>
    <w:unhideWhenUsed/>
    <w:rsid w:val="0002498A"/>
    <w:pPr>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rsid w:val="008A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381515039">
      <w:bodyDiv w:val="1"/>
      <w:marLeft w:val="0"/>
      <w:marRight w:val="0"/>
      <w:marTop w:val="0"/>
      <w:marBottom w:val="0"/>
      <w:divBdr>
        <w:top w:val="none" w:sz="0" w:space="0" w:color="auto"/>
        <w:left w:val="none" w:sz="0" w:space="0" w:color="auto"/>
        <w:bottom w:val="none" w:sz="0" w:space="0" w:color="auto"/>
        <w:right w:val="none" w:sz="0" w:space="0" w:color="auto"/>
      </w:divBdr>
    </w:div>
    <w:div w:id="580725924">
      <w:bodyDiv w:val="1"/>
      <w:marLeft w:val="0"/>
      <w:marRight w:val="0"/>
      <w:marTop w:val="0"/>
      <w:marBottom w:val="0"/>
      <w:divBdr>
        <w:top w:val="none" w:sz="0" w:space="0" w:color="auto"/>
        <w:left w:val="none" w:sz="0" w:space="0" w:color="auto"/>
        <w:bottom w:val="none" w:sz="0" w:space="0" w:color="auto"/>
        <w:right w:val="none" w:sz="0" w:space="0" w:color="auto"/>
      </w:divBdr>
    </w:div>
    <w:div w:id="677931743">
      <w:bodyDiv w:val="1"/>
      <w:marLeft w:val="0"/>
      <w:marRight w:val="0"/>
      <w:marTop w:val="0"/>
      <w:marBottom w:val="0"/>
      <w:divBdr>
        <w:top w:val="none" w:sz="0" w:space="0" w:color="auto"/>
        <w:left w:val="none" w:sz="0" w:space="0" w:color="auto"/>
        <w:bottom w:val="none" w:sz="0" w:space="0" w:color="auto"/>
        <w:right w:val="none" w:sz="0" w:space="0" w:color="auto"/>
      </w:divBdr>
    </w:div>
    <w:div w:id="711731855">
      <w:bodyDiv w:val="1"/>
      <w:marLeft w:val="0"/>
      <w:marRight w:val="0"/>
      <w:marTop w:val="0"/>
      <w:marBottom w:val="0"/>
      <w:divBdr>
        <w:top w:val="none" w:sz="0" w:space="0" w:color="auto"/>
        <w:left w:val="none" w:sz="0" w:space="0" w:color="auto"/>
        <w:bottom w:val="none" w:sz="0" w:space="0" w:color="auto"/>
        <w:right w:val="none" w:sz="0" w:space="0" w:color="auto"/>
      </w:divBdr>
    </w:div>
    <w:div w:id="888804144">
      <w:bodyDiv w:val="1"/>
      <w:marLeft w:val="0"/>
      <w:marRight w:val="0"/>
      <w:marTop w:val="0"/>
      <w:marBottom w:val="0"/>
      <w:divBdr>
        <w:top w:val="none" w:sz="0" w:space="0" w:color="auto"/>
        <w:left w:val="none" w:sz="0" w:space="0" w:color="auto"/>
        <w:bottom w:val="none" w:sz="0" w:space="0" w:color="auto"/>
        <w:right w:val="none" w:sz="0" w:space="0" w:color="auto"/>
      </w:divBdr>
    </w:div>
    <w:div w:id="971980859">
      <w:bodyDiv w:val="1"/>
      <w:marLeft w:val="0"/>
      <w:marRight w:val="0"/>
      <w:marTop w:val="0"/>
      <w:marBottom w:val="0"/>
      <w:divBdr>
        <w:top w:val="none" w:sz="0" w:space="0" w:color="auto"/>
        <w:left w:val="none" w:sz="0" w:space="0" w:color="auto"/>
        <w:bottom w:val="none" w:sz="0" w:space="0" w:color="auto"/>
        <w:right w:val="none" w:sz="0" w:space="0" w:color="auto"/>
      </w:divBdr>
    </w:div>
    <w:div w:id="1071194816">
      <w:bodyDiv w:val="1"/>
      <w:marLeft w:val="0"/>
      <w:marRight w:val="0"/>
      <w:marTop w:val="0"/>
      <w:marBottom w:val="0"/>
      <w:divBdr>
        <w:top w:val="none" w:sz="0" w:space="0" w:color="auto"/>
        <w:left w:val="none" w:sz="0" w:space="0" w:color="auto"/>
        <w:bottom w:val="none" w:sz="0" w:space="0" w:color="auto"/>
        <w:right w:val="none" w:sz="0" w:space="0" w:color="auto"/>
      </w:divBdr>
    </w:div>
    <w:div w:id="1081564510">
      <w:bodyDiv w:val="1"/>
      <w:marLeft w:val="0"/>
      <w:marRight w:val="0"/>
      <w:marTop w:val="0"/>
      <w:marBottom w:val="0"/>
      <w:divBdr>
        <w:top w:val="none" w:sz="0" w:space="0" w:color="auto"/>
        <w:left w:val="none" w:sz="0" w:space="0" w:color="auto"/>
        <w:bottom w:val="none" w:sz="0" w:space="0" w:color="auto"/>
        <w:right w:val="none" w:sz="0" w:space="0" w:color="auto"/>
      </w:divBdr>
    </w:div>
    <w:div w:id="1125931368">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07943145">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55139417">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89827296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16149705">
      <w:bodyDiv w:val="1"/>
      <w:marLeft w:val="0"/>
      <w:marRight w:val="0"/>
      <w:marTop w:val="0"/>
      <w:marBottom w:val="0"/>
      <w:divBdr>
        <w:top w:val="none" w:sz="0" w:space="0" w:color="auto"/>
        <w:left w:val="none" w:sz="0" w:space="0" w:color="auto"/>
        <w:bottom w:val="none" w:sz="0" w:space="0" w:color="auto"/>
        <w:right w:val="none" w:sz="0" w:space="0" w:color="auto"/>
      </w:divBdr>
    </w:div>
    <w:div w:id="2063481977">
      <w:bodyDiv w:val="1"/>
      <w:marLeft w:val="0"/>
      <w:marRight w:val="0"/>
      <w:marTop w:val="0"/>
      <w:marBottom w:val="0"/>
      <w:divBdr>
        <w:top w:val="none" w:sz="0" w:space="0" w:color="auto"/>
        <w:left w:val="none" w:sz="0" w:space="0" w:color="auto"/>
        <w:bottom w:val="none" w:sz="0" w:space="0" w:color="auto"/>
        <w:right w:val="none" w:sz="0" w:space="0" w:color="auto"/>
      </w:divBdr>
    </w:div>
    <w:div w:id="21020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ljana.djok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PageView.aspx?pKey=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6\Saopstenja\Bilansi\NR70\ENGL-Racunica%20za%20histograme%20u%20Saopstenj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3%23%232016\Saopstenja\Bilansi\NR70\Konacno\ENGL-Racunica%20za%20histograme%20u%20Saopstenj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itchFamily="34" charset="0"/>
                <a:cs typeface="Arial" pitchFamily="34" charset="0"/>
              </a:defRPr>
            </a:pPr>
            <a:r>
              <a:rPr lang="sr-Latn-RS" sz="1000" b="1" i="0" u="none" strike="noStrike" baseline="0">
                <a:effectLst/>
                <a:latin typeface="Arial" pitchFamily="34" charset="0"/>
                <a:cs typeface="Arial" pitchFamily="34" charset="0"/>
              </a:rPr>
              <a:t>Emission</a:t>
            </a:r>
            <a:r>
              <a:rPr lang="en-US" sz="1000" b="1" i="0" u="none" strike="noStrike" baseline="0">
                <a:effectLst/>
                <a:latin typeface="Arial" pitchFamily="34" charset="0"/>
                <a:cs typeface="Arial" pitchFamily="34" charset="0"/>
              </a:rPr>
              <a:t>s</a:t>
            </a:r>
            <a:r>
              <a:rPr lang="sr-Latn-RS" sz="1000" b="1" i="0" u="none" strike="noStrike" baseline="0">
                <a:effectLst/>
                <a:latin typeface="Arial" pitchFamily="34" charset="0"/>
                <a:cs typeface="Arial" pitchFamily="34" charset="0"/>
              </a:rPr>
              <a:t> of pollutants, Republic of Serbia</a:t>
            </a:r>
            <a:r>
              <a:rPr lang="sr-Cyrl-RS" sz="1000" b="1" i="0" u="none" strike="noStrike" baseline="0">
                <a:effectLst/>
                <a:latin typeface="Arial" pitchFamily="34" charset="0"/>
                <a:cs typeface="Arial" pitchFamily="34" charset="0"/>
              </a:rPr>
              <a:t>, 2008‒2014</a:t>
            </a:r>
            <a:endParaRPr lang="en-US" sz="1000">
              <a:latin typeface="Arial" pitchFamily="34" charset="0"/>
              <a:cs typeface="Arial" pitchFamily="34" charset="0"/>
            </a:endParaRPr>
          </a:p>
        </c:rich>
      </c:tx>
      <c:layout>
        <c:manualLayout>
          <c:xMode val="edge"/>
          <c:yMode val="edge"/>
          <c:x val="0.14191073657927591"/>
          <c:y val="2.7777777777777776E-2"/>
        </c:manualLayout>
      </c:layout>
      <c:overlay val="0"/>
    </c:title>
    <c:autoTitleDeleted val="0"/>
    <c:plotArea>
      <c:layout/>
      <c:barChart>
        <c:barDir val="col"/>
        <c:grouping val="stacked"/>
        <c:varyColors val="0"/>
        <c:ser>
          <c:idx val="0"/>
          <c:order val="0"/>
          <c:tx>
            <c:strRef>
              <c:f>Sheet1!$I$2</c:f>
              <c:strCache>
                <c:ptCount val="1"/>
                <c:pt idx="0">
                  <c:v>NOx </c:v>
                </c:pt>
              </c:strCache>
            </c:strRef>
          </c:tx>
          <c:spPr>
            <a:solidFill>
              <a:srgbClr val="EADC1F"/>
            </a:solidFill>
          </c:spPr>
          <c:invertIfNegative val="0"/>
          <c:dLbls>
            <c:dLbl>
              <c:idx val="0"/>
              <c:tx>
                <c:rich>
                  <a:bodyPr/>
                  <a:lstStyle/>
                  <a:p>
                    <a:r>
                      <a:rPr lang="en-US" sz="850" b="0"/>
                      <a:t>13</a:t>
                    </a:r>
                    <a:r>
                      <a:rPr lang="sr-Latn-RS" sz="850" b="0"/>
                      <a:t>.</a:t>
                    </a:r>
                    <a:r>
                      <a:rPr lang="en-US" sz="850" b="0"/>
                      <a:t>5%</a:t>
                    </a:r>
                    <a:endParaRPr lang="en-US"/>
                  </a:p>
                </c:rich>
              </c:tx>
              <c:showLegendKey val="0"/>
              <c:showVal val="1"/>
              <c:showCatName val="0"/>
              <c:showSerName val="0"/>
              <c:showPercent val="0"/>
              <c:showBubbleSize val="0"/>
            </c:dLbl>
            <c:dLbl>
              <c:idx val="1"/>
              <c:tx>
                <c:rich>
                  <a:bodyPr/>
                  <a:lstStyle/>
                  <a:p>
                    <a:r>
                      <a:rPr lang="en-US" sz="850" b="0"/>
                      <a:t>13</a:t>
                    </a:r>
                    <a:r>
                      <a:rPr lang="sr-Latn-RS" sz="850" b="0"/>
                      <a:t>.</a:t>
                    </a:r>
                    <a:r>
                      <a:rPr lang="en-US" sz="850" b="0"/>
                      <a:t>1%</a:t>
                    </a:r>
                    <a:endParaRPr lang="en-US"/>
                  </a:p>
                </c:rich>
              </c:tx>
              <c:showLegendKey val="0"/>
              <c:showVal val="1"/>
              <c:showCatName val="0"/>
              <c:showSerName val="0"/>
              <c:showPercent val="0"/>
              <c:showBubbleSize val="0"/>
            </c:dLbl>
            <c:dLbl>
              <c:idx val="2"/>
              <c:tx>
                <c:rich>
                  <a:bodyPr/>
                  <a:lstStyle/>
                  <a:p>
                    <a:r>
                      <a:rPr lang="en-US" sz="850" b="0"/>
                      <a:t>13</a:t>
                    </a:r>
                    <a:r>
                      <a:rPr lang="sr-Latn-RS" sz="850" b="0"/>
                      <a:t>.</a:t>
                    </a:r>
                    <a:r>
                      <a:rPr lang="en-US" sz="850" b="0"/>
                      <a:t>3%</a:t>
                    </a:r>
                    <a:endParaRPr lang="en-US"/>
                  </a:p>
                </c:rich>
              </c:tx>
              <c:showLegendKey val="0"/>
              <c:showVal val="1"/>
              <c:showCatName val="0"/>
              <c:showSerName val="0"/>
              <c:showPercent val="0"/>
              <c:showBubbleSize val="0"/>
            </c:dLbl>
            <c:dLbl>
              <c:idx val="3"/>
              <c:tx>
                <c:rich>
                  <a:bodyPr/>
                  <a:lstStyle/>
                  <a:p>
                    <a:r>
                      <a:rPr lang="en-US" sz="850" b="0"/>
                      <a:t>13</a:t>
                    </a:r>
                    <a:r>
                      <a:rPr lang="sr-Latn-RS" sz="850" b="0"/>
                      <a:t>.</a:t>
                    </a:r>
                    <a:r>
                      <a:rPr lang="en-US" sz="850" b="0"/>
                      <a:t>6%</a:t>
                    </a:r>
                    <a:endParaRPr lang="en-US"/>
                  </a:p>
                </c:rich>
              </c:tx>
              <c:showLegendKey val="0"/>
              <c:showVal val="1"/>
              <c:showCatName val="0"/>
              <c:showSerName val="0"/>
              <c:showPercent val="0"/>
              <c:showBubbleSize val="0"/>
            </c:dLbl>
            <c:dLbl>
              <c:idx val="4"/>
              <c:tx>
                <c:rich>
                  <a:bodyPr/>
                  <a:lstStyle/>
                  <a:p>
                    <a:r>
                      <a:rPr lang="en-US" sz="850" b="0"/>
                      <a:t>13</a:t>
                    </a:r>
                    <a:r>
                      <a:rPr lang="sr-Latn-RS" sz="850" b="0"/>
                      <a:t>.</a:t>
                    </a:r>
                    <a:r>
                      <a:rPr lang="en-US" sz="850" b="0"/>
                      <a:t>1%</a:t>
                    </a:r>
                    <a:endParaRPr lang="en-US"/>
                  </a:p>
                </c:rich>
              </c:tx>
              <c:showLegendKey val="0"/>
              <c:showVal val="1"/>
              <c:showCatName val="0"/>
              <c:showSerName val="0"/>
              <c:showPercent val="0"/>
              <c:showBubbleSize val="0"/>
            </c:dLbl>
            <c:dLbl>
              <c:idx val="5"/>
              <c:tx>
                <c:rich>
                  <a:bodyPr/>
                  <a:lstStyle/>
                  <a:p>
                    <a:r>
                      <a:rPr lang="en-US" sz="850" b="0"/>
                      <a:t>13</a:t>
                    </a:r>
                    <a:r>
                      <a:rPr lang="sr-Latn-RS" sz="850" b="0"/>
                      <a:t>.</a:t>
                    </a:r>
                    <a:r>
                      <a:rPr lang="en-US" sz="850" b="0"/>
                      <a:t>3%</a:t>
                    </a:r>
                    <a:endParaRPr lang="en-US"/>
                  </a:p>
                </c:rich>
              </c:tx>
              <c:showLegendKey val="0"/>
              <c:showVal val="1"/>
              <c:showCatName val="0"/>
              <c:showSerName val="0"/>
              <c:showPercent val="0"/>
              <c:showBubbleSize val="0"/>
            </c:dLbl>
            <c:dLbl>
              <c:idx val="6"/>
              <c:tx>
                <c:rich>
                  <a:bodyPr/>
                  <a:lstStyle/>
                  <a:p>
                    <a:r>
                      <a:rPr lang="en-US" sz="850" b="0"/>
                      <a:t>12</a:t>
                    </a:r>
                    <a:r>
                      <a:rPr lang="sr-Latn-RS" sz="850" b="0"/>
                      <a:t>.</a:t>
                    </a:r>
                    <a:r>
                      <a:rPr lang="en-US" sz="850" b="0"/>
                      <a:t>9%</a:t>
                    </a:r>
                    <a:endParaRPr lang="en-US"/>
                  </a:p>
                </c:rich>
              </c:tx>
              <c:showLegendKey val="0"/>
              <c:showVal val="1"/>
              <c:showCatName val="0"/>
              <c:showSerName val="0"/>
              <c:showPercent val="0"/>
              <c:showBubbleSize val="0"/>
            </c:dLbl>
            <c:numFmt formatCode="#,##0.0" sourceLinked="0"/>
            <c:txPr>
              <a:bodyPr/>
              <a:lstStyle/>
              <a:p>
                <a:pPr>
                  <a:defRPr sz="850" b="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Sheet1!$H$3:$H$9</c:f>
              <c:strCache>
                <c:ptCount val="7"/>
                <c:pt idx="0">
                  <c:v>2008</c:v>
                </c:pt>
                <c:pt idx="1">
                  <c:v>2009</c:v>
                </c:pt>
                <c:pt idx="2">
                  <c:v>2010</c:v>
                </c:pt>
                <c:pt idx="3">
                  <c:v>2011</c:v>
                </c:pt>
                <c:pt idx="4">
                  <c:v>2012</c:v>
                </c:pt>
                <c:pt idx="5">
                  <c:v>2013</c:v>
                </c:pt>
                <c:pt idx="6">
                  <c:v>2014</c:v>
                </c:pt>
              </c:strCache>
            </c:strRef>
          </c:cat>
          <c:val>
            <c:numRef>
              <c:f>Sheet1!$I$3:$I$9</c:f>
              <c:numCache>
                <c:formatCode>#,#00</c:formatCode>
                <c:ptCount val="7"/>
                <c:pt idx="0">
                  <c:v>13.491775434729824</c:v>
                </c:pt>
                <c:pt idx="1">
                  <c:v>13.134704149062587</c:v>
                </c:pt>
                <c:pt idx="2">
                  <c:v>13.272226688992905</c:v>
                </c:pt>
                <c:pt idx="3">
                  <c:v>13.557908194931825</c:v>
                </c:pt>
                <c:pt idx="4">
                  <c:v>13.137789369113504</c:v>
                </c:pt>
                <c:pt idx="5">
                  <c:v>13.272039381461251</c:v>
                </c:pt>
                <c:pt idx="6">
                  <c:v>12.888939359527596</c:v>
                </c:pt>
              </c:numCache>
            </c:numRef>
          </c:val>
        </c:ser>
        <c:ser>
          <c:idx val="1"/>
          <c:order val="1"/>
          <c:tx>
            <c:strRef>
              <c:f>Sheet1!$J$2</c:f>
              <c:strCache>
                <c:ptCount val="1"/>
                <c:pt idx="0">
                  <c:v>NMVOC </c:v>
                </c:pt>
              </c:strCache>
            </c:strRef>
          </c:tx>
          <c:spPr>
            <a:solidFill>
              <a:srgbClr val="743689"/>
            </a:solidFill>
          </c:spPr>
          <c:invertIfNegative val="0"/>
          <c:dLbls>
            <c:dLbl>
              <c:idx val="0"/>
              <c:tx>
                <c:rich>
                  <a:bodyPr/>
                  <a:lstStyle/>
                  <a:p>
                    <a:r>
                      <a:rPr lang="en-US" sz="850" b="0">
                        <a:solidFill>
                          <a:schemeClr val="bg1"/>
                        </a:solidFill>
                      </a:rPr>
                      <a:t>12</a:t>
                    </a:r>
                    <a:r>
                      <a:rPr lang="sr-Latn-RS" sz="850" b="0">
                        <a:solidFill>
                          <a:schemeClr val="bg1"/>
                        </a:solidFill>
                      </a:rPr>
                      <a:t>.</a:t>
                    </a:r>
                    <a:r>
                      <a:rPr lang="en-US" sz="850" b="0">
                        <a:solidFill>
                          <a:schemeClr val="bg1"/>
                        </a:solidFill>
                      </a:rPr>
                      <a:t>2%</a:t>
                    </a:r>
                    <a:endParaRPr lang="en-US"/>
                  </a:p>
                </c:rich>
              </c:tx>
              <c:showLegendKey val="0"/>
              <c:showVal val="1"/>
              <c:showCatName val="0"/>
              <c:showSerName val="0"/>
              <c:showPercent val="0"/>
              <c:showBubbleSize val="0"/>
            </c:dLbl>
            <c:dLbl>
              <c:idx val="1"/>
              <c:tx>
                <c:rich>
                  <a:bodyPr/>
                  <a:lstStyle/>
                  <a:p>
                    <a:r>
                      <a:rPr lang="en-US" sz="850" b="0">
                        <a:solidFill>
                          <a:schemeClr val="bg1"/>
                        </a:solidFill>
                      </a:rPr>
                      <a:t>12</a:t>
                    </a:r>
                    <a:r>
                      <a:rPr lang="sr-Latn-RS" sz="850" b="0">
                        <a:solidFill>
                          <a:schemeClr val="bg1"/>
                        </a:solidFill>
                      </a:rPr>
                      <a:t>.</a:t>
                    </a:r>
                    <a:r>
                      <a:rPr lang="en-US" sz="850" b="0">
                        <a:solidFill>
                          <a:schemeClr val="bg1"/>
                        </a:solidFill>
                      </a:rPr>
                      <a:t>4%</a:t>
                    </a:r>
                    <a:endParaRPr lang="en-US"/>
                  </a:p>
                </c:rich>
              </c:tx>
              <c:showLegendKey val="0"/>
              <c:showVal val="1"/>
              <c:showCatName val="0"/>
              <c:showSerName val="0"/>
              <c:showPercent val="0"/>
              <c:showBubbleSize val="0"/>
            </c:dLbl>
            <c:dLbl>
              <c:idx val="2"/>
              <c:tx>
                <c:rich>
                  <a:bodyPr/>
                  <a:lstStyle/>
                  <a:p>
                    <a:r>
                      <a:rPr lang="en-US" sz="850" b="0">
                        <a:solidFill>
                          <a:schemeClr val="bg1"/>
                        </a:solidFill>
                      </a:rPr>
                      <a:t>12</a:t>
                    </a:r>
                    <a:r>
                      <a:rPr lang="sr-Latn-RS" sz="850" b="0">
                        <a:solidFill>
                          <a:schemeClr val="bg1"/>
                        </a:solidFill>
                      </a:rPr>
                      <a:t>.</a:t>
                    </a:r>
                    <a:r>
                      <a:rPr lang="en-US" sz="850" b="0">
                        <a:solidFill>
                          <a:schemeClr val="bg1"/>
                        </a:solidFill>
                      </a:rPr>
                      <a:t>6%</a:t>
                    </a:r>
                    <a:endParaRPr lang="en-US"/>
                  </a:p>
                </c:rich>
              </c:tx>
              <c:showLegendKey val="0"/>
              <c:showVal val="1"/>
              <c:showCatName val="0"/>
              <c:showSerName val="0"/>
              <c:showPercent val="0"/>
              <c:showBubbleSize val="0"/>
            </c:dLbl>
            <c:dLbl>
              <c:idx val="3"/>
              <c:tx>
                <c:rich>
                  <a:bodyPr/>
                  <a:lstStyle/>
                  <a:p>
                    <a:r>
                      <a:rPr lang="en-US" sz="850" b="0">
                        <a:solidFill>
                          <a:schemeClr val="bg1"/>
                        </a:solidFill>
                      </a:rPr>
                      <a:t>12</a:t>
                    </a:r>
                    <a:r>
                      <a:rPr lang="sr-Latn-RS" sz="850" b="0">
                        <a:solidFill>
                          <a:schemeClr val="bg1"/>
                        </a:solidFill>
                      </a:rPr>
                      <a:t>.</a:t>
                    </a:r>
                    <a:r>
                      <a:rPr lang="en-US" sz="850" b="0">
                        <a:solidFill>
                          <a:schemeClr val="bg1"/>
                        </a:solidFill>
                      </a:rPr>
                      <a:t>0%</a:t>
                    </a:r>
                    <a:endParaRPr lang="en-US"/>
                  </a:p>
                </c:rich>
              </c:tx>
              <c:showLegendKey val="0"/>
              <c:showVal val="1"/>
              <c:showCatName val="0"/>
              <c:showSerName val="0"/>
              <c:showPercent val="0"/>
              <c:showBubbleSize val="0"/>
            </c:dLbl>
            <c:dLbl>
              <c:idx val="4"/>
              <c:tx>
                <c:rich>
                  <a:bodyPr/>
                  <a:lstStyle/>
                  <a:p>
                    <a:r>
                      <a:rPr lang="en-US" sz="850" b="0">
                        <a:solidFill>
                          <a:schemeClr val="bg1"/>
                        </a:solidFill>
                      </a:rPr>
                      <a:t>12</a:t>
                    </a:r>
                    <a:r>
                      <a:rPr lang="sr-Latn-RS" sz="850" b="0">
                        <a:solidFill>
                          <a:schemeClr val="bg1"/>
                        </a:solidFill>
                      </a:rPr>
                      <a:t>.</a:t>
                    </a:r>
                    <a:r>
                      <a:rPr lang="en-US" sz="850" b="0">
                        <a:solidFill>
                          <a:schemeClr val="bg1"/>
                        </a:solidFill>
                      </a:rPr>
                      <a:t>4%</a:t>
                    </a:r>
                    <a:endParaRPr lang="en-US"/>
                  </a:p>
                </c:rich>
              </c:tx>
              <c:showLegendKey val="0"/>
              <c:showVal val="1"/>
              <c:showCatName val="0"/>
              <c:showSerName val="0"/>
              <c:showPercent val="0"/>
              <c:showBubbleSize val="0"/>
            </c:dLbl>
            <c:dLbl>
              <c:idx val="5"/>
              <c:tx>
                <c:rich>
                  <a:bodyPr/>
                  <a:lstStyle/>
                  <a:p>
                    <a:r>
                      <a:rPr lang="en-US" sz="850" b="0">
                        <a:solidFill>
                          <a:schemeClr val="bg1"/>
                        </a:solidFill>
                      </a:rPr>
                      <a:t>12</a:t>
                    </a:r>
                    <a:r>
                      <a:rPr lang="sr-Latn-RS" sz="850" b="0">
                        <a:solidFill>
                          <a:schemeClr val="bg1"/>
                        </a:solidFill>
                      </a:rPr>
                      <a:t>.</a:t>
                    </a:r>
                    <a:r>
                      <a:rPr lang="en-US" sz="850" b="0">
                        <a:solidFill>
                          <a:schemeClr val="bg1"/>
                        </a:solidFill>
                      </a:rPr>
                      <a:t>4%</a:t>
                    </a:r>
                    <a:endParaRPr lang="en-US"/>
                  </a:p>
                </c:rich>
              </c:tx>
              <c:showLegendKey val="0"/>
              <c:showVal val="1"/>
              <c:showCatName val="0"/>
              <c:showSerName val="0"/>
              <c:showPercent val="0"/>
              <c:showBubbleSize val="0"/>
            </c:dLbl>
            <c:dLbl>
              <c:idx val="6"/>
              <c:tx>
                <c:rich>
                  <a:bodyPr/>
                  <a:lstStyle/>
                  <a:p>
                    <a:r>
                      <a:rPr lang="en-US" sz="850" b="0">
                        <a:solidFill>
                          <a:schemeClr val="bg1"/>
                        </a:solidFill>
                      </a:rPr>
                      <a:t>13</a:t>
                    </a:r>
                    <a:r>
                      <a:rPr lang="sr-Latn-RS" sz="850" b="0">
                        <a:solidFill>
                          <a:schemeClr val="bg1"/>
                        </a:solidFill>
                      </a:rPr>
                      <a:t>.</a:t>
                    </a:r>
                    <a:r>
                      <a:rPr lang="en-US" sz="850" b="0">
                        <a:solidFill>
                          <a:schemeClr val="bg1"/>
                        </a:solidFill>
                      </a:rPr>
                      <a:t>4%</a:t>
                    </a:r>
                    <a:endParaRPr lang="en-US"/>
                  </a:p>
                </c:rich>
              </c:tx>
              <c:showLegendKey val="0"/>
              <c:showVal val="1"/>
              <c:showCatName val="0"/>
              <c:showSerName val="0"/>
              <c:showPercent val="0"/>
              <c:showBubbleSize val="0"/>
            </c:dLbl>
            <c:numFmt formatCode="#,##0.0" sourceLinked="0"/>
            <c:txPr>
              <a:bodyPr/>
              <a:lstStyle/>
              <a:p>
                <a:pPr>
                  <a:defRPr sz="850" b="0">
                    <a:solidFill>
                      <a:schemeClr val="bg1"/>
                    </a:solidFill>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Sheet1!$H$3:$H$9</c:f>
              <c:strCache>
                <c:ptCount val="7"/>
                <c:pt idx="0">
                  <c:v>2008</c:v>
                </c:pt>
                <c:pt idx="1">
                  <c:v>2009</c:v>
                </c:pt>
                <c:pt idx="2">
                  <c:v>2010</c:v>
                </c:pt>
                <c:pt idx="3">
                  <c:v>2011</c:v>
                </c:pt>
                <c:pt idx="4">
                  <c:v>2012</c:v>
                </c:pt>
                <c:pt idx="5">
                  <c:v>2013</c:v>
                </c:pt>
                <c:pt idx="6">
                  <c:v>2014</c:v>
                </c:pt>
              </c:strCache>
            </c:strRef>
          </c:cat>
          <c:val>
            <c:numRef>
              <c:f>Sheet1!$J$3:$J$9</c:f>
              <c:numCache>
                <c:formatCode>#,#00</c:formatCode>
                <c:ptCount val="7"/>
                <c:pt idx="0">
                  <c:v>12.157337456068221</c:v>
                </c:pt>
                <c:pt idx="1">
                  <c:v>12.430901007001907</c:v>
                </c:pt>
                <c:pt idx="2">
                  <c:v>12.550135608633303</c:v>
                </c:pt>
                <c:pt idx="3">
                  <c:v>12.008191402231191</c:v>
                </c:pt>
                <c:pt idx="4">
                  <c:v>12.415154734704002</c:v>
                </c:pt>
                <c:pt idx="5">
                  <c:v>12.445890698159594</c:v>
                </c:pt>
                <c:pt idx="6">
                  <c:v>13.354531001589825</c:v>
                </c:pt>
              </c:numCache>
            </c:numRef>
          </c:val>
        </c:ser>
        <c:ser>
          <c:idx val="2"/>
          <c:order val="2"/>
          <c:tx>
            <c:strRef>
              <c:f>Sheet1!$K$2</c:f>
              <c:strCache>
                <c:ptCount val="1"/>
                <c:pt idx="0">
                  <c:v>SOx </c:v>
                </c:pt>
              </c:strCache>
            </c:strRef>
          </c:tx>
          <c:spPr>
            <a:solidFill>
              <a:srgbClr val="C6D776"/>
            </a:solidFill>
          </c:spPr>
          <c:invertIfNegative val="0"/>
          <c:dLbls>
            <c:dLbl>
              <c:idx val="0"/>
              <c:tx>
                <c:rich>
                  <a:bodyPr/>
                  <a:lstStyle/>
                  <a:p>
                    <a:r>
                      <a:rPr lang="en-US" sz="850" b="0"/>
                      <a:t>39</a:t>
                    </a:r>
                    <a:r>
                      <a:rPr lang="sr-Latn-RS" sz="850" b="0"/>
                      <a:t>.</a:t>
                    </a:r>
                    <a:r>
                      <a:rPr lang="en-US" sz="850" b="0"/>
                      <a:t>6%</a:t>
                    </a:r>
                    <a:endParaRPr lang="en-US"/>
                  </a:p>
                </c:rich>
              </c:tx>
              <c:showLegendKey val="0"/>
              <c:showVal val="1"/>
              <c:showCatName val="0"/>
              <c:showSerName val="0"/>
              <c:showPercent val="0"/>
              <c:showBubbleSize val="0"/>
            </c:dLbl>
            <c:dLbl>
              <c:idx val="1"/>
              <c:tx>
                <c:rich>
                  <a:bodyPr/>
                  <a:lstStyle/>
                  <a:p>
                    <a:r>
                      <a:rPr lang="en-US" sz="850" b="0"/>
                      <a:t>37</a:t>
                    </a:r>
                    <a:r>
                      <a:rPr lang="sr-Latn-RS" sz="850" b="0"/>
                      <a:t>.</a:t>
                    </a:r>
                    <a:r>
                      <a:rPr lang="en-US" sz="850" b="0"/>
                      <a:t>3%</a:t>
                    </a:r>
                    <a:endParaRPr lang="en-US"/>
                  </a:p>
                </c:rich>
              </c:tx>
              <c:showLegendKey val="0"/>
              <c:showVal val="1"/>
              <c:showCatName val="0"/>
              <c:showSerName val="0"/>
              <c:showPercent val="0"/>
              <c:showBubbleSize val="0"/>
            </c:dLbl>
            <c:dLbl>
              <c:idx val="2"/>
              <c:tx>
                <c:rich>
                  <a:bodyPr/>
                  <a:lstStyle/>
                  <a:p>
                    <a:r>
                      <a:rPr lang="en-US" sz="850" b="0"/>
                      <a:t>38</a:t>
                    </a:r>
                    <a:r>
                      <a:rPr lang="sr-Latn-RS" sz="850" b="0"/>
                      <a:t>.</a:t>
                    </a:r>
                    <a:r>
                      <a:rPr lang="en-US" sz="850" b="0"/>
                      <a:t>2%</a:t>
                    </a:r>
                    <a:endParaRPr lang="en-US"/>
                  </a:p>
                </c:rich>
              </c:tx>
              <c:showLegendKey val="0"/>
              <c:showVal val="1"/>
              <c:showCatName val="0"/>
              <c:showSerName val="0"/>
              <c:showPercent val="0"/>
              <c:showBubbleSize val="0"/>
            </c:dLbl>
            <c:dLbl>
              <c:idx val="3"/>
              <c:tx>
                <c:rich>
                  <a:bodyPr/>
                  <a:lstStyle/>
                  <a:p>
                    <a:r>
                      <a:rPr lang="en-US" sz="850" b="0"/>
                      <a:t>41</a:t>
                    </a:r>
                    <a:r>
                      <a:rPr lang="sr-Latn-RS" sz="850" b="0"/>
                      <a:t>.</a:t>
                    </a:r>
                    <a:r>
                      <a:rPr lang="en-US" sz="850" b="0"/>
                      <a:t>1%</a:t>
                    </a:r>
                    <a:endParaRPr lang="en-US"/>
                  </a:p>
                </c:rich>
              </c:tx>
              <c:showLegendKey val="0"/>
              <c:showVal val="1"/>
              <c:showCatName val="0"/>
              <c:showSerName val="0"/>
              <c:showPercent val="0"/>
              <c:showBubbleSize val="0"/>
            </c:dLbl>
            <c:dLbl>
              <c:idx val="4"/>
              <c:tx>
                <c:rich>
                  <a:bodyPr/>
                  <a:lstStyle/>
                  <a:p>
                    <a:r>
                      <a:rPr lang="en-US" sz="850" b="0"/>
                      <a:t>40</a:t>
                    </a:r>
                    <a:r>
                      <a:rPr lang="sr-Latn-RS" sz="850" b="0"/>
                      <a:t>.</a:t>
                    </a:r>
                    <a:r>
                      <a:rPr lang="en-US" sz="850" b="0"/>
                      <a:t>4%</a:t>
                    </a:r>
                    <a:endParaRPr lang="en-US"/>
                  </a:p>
                </c:rich>
              </c:tx>
              <c:showLegendKey val="0"/>
              <c:showVal val="1"/>
              <c:showCatName val="0"/>
              <c:showSerName val="0"/>
              <c:showPercent val="0"/>
              <c:showBubbleSize val="0"/>
            </c:dLbl>
            <c:dLbl>
              <c:idx val="5"/>
              <c:tx>
                <c:rich>
                  <a:bodyPr/>
                  <a:lstStyle/>
                  <a:p>
                    <a:r>
                      <a:rPr lang="en-US" sz="850" b="0"/>
                      <a:t>42</a:t>
                    </a:r>
                    <a:r>
                      <a:rPr lang="sr-Latn-RS" sz="850" b="0"/>
                      <a:t>.</a:t>
                    </a:r>
                    <a:r>
                      <a:rPr lang="en-US" sz="850" b="0"/>
                      <a:t>7%</a:t>
                    </a:r>
                    <a:endParaRPr lang="en-US"/>
                  </a:p>
                </c:rich>
              </c:tx>
              <c:showLegendKey val="0"/>
              <c:showVal val="1"/>
              <c:showCatName val="0"/>
              <c:showSerName val="0"/>
              <c:showPercent val="0"/>
              <c:showBubbleSize val="0"/>
            </c:dLbl>
            <c:dLbl>
              <c:idx val="6"/>
              <c:tx>
                <c:rich>
                  <a:bodyPr/>
                  <a:lstStyle/>
                  <a:p>
                    <a:r>
                      <a:rPr lang="en-US" sz="850" b="0"/>
                      <a:t>37</a:t>
                    </a:r>
                    <a:r>
                      <a:rPr lang="sr-Latn-RS" sz="850" b="0"/>
                      <a:t>.</a:t>
                    </a:r>
                    <a:r>
                      <a:rPr lang="en-US" sz="850" b="0"/>
                      <a:t>2%</a:t>
                    </a:r>
                    <a:endParaRPr lang="en-US"/>
                  </a:p>
                </c:rich>
              </c:tx>
              <c:showLegendKey val="0"/>
              <c:showVal val="1"/>
              <c:showCatName val="0"/>
              <c:showSerName val="0"/>
              <c:showPercent val="0"/>
              <c:showBubbleSize val="0"/>
            </c:dLbl>
            <c:numFmt formatCode="#,##0.0" sourceLinked="0"/>
            <c:txPr>
              <a:bodyPr/>
              <a:lstStyle/>
              <a:p>
                <a:pPr>
                  <a:defRPr sz="850" b="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Sheet1!$H$3:$H$9</c:f>
              <c:strCache>
                <c:ptCount val="7"/>
                <c:pt idx="0">
                  <c:v>2008</c:v>
                </c:pt>
                <c:pt idx="1">
                  <c:v>2009</c:v>
                </c:pt>
                <c:pt idx="2">
                  <c:v>2010</c:v>
                </c:pt>
                <c:pt idx="3">
                  <c:v>2011</c:v>
                </c:pt>
                <c:pt idx="4">
                  <c:v>2012</c:v>
                </c:pt>
                <c:pt idx="5">
                  <c:v>2013</c:v>
                </c:pt>
                <c:pt idx="6">
                  <c:v>2014</c:v>
                </c:pt>
              </c:strCache>
            </c:strRef>
          </c:cat>
          <c:val>
            <c:numRef>
              <c:f>Sheet1!$K$3:$K$9</c:f>
              <c:numCache>
                <c:formatCode>#,#00</c:formatCode>
                <c:ptCount val="7"/>
                <c:pt idx="0">
                  <c:v>39.59183373798593</c:v>
                </c:pt>
                <c:pt idx="1">
                  <c:v>37.303528741868028</c:v>
                </c:pt>
                <c:pt idx="2">
                  <c:v>38.23191865469218</c:v>
                </c:pt>
                <c:pt idx="3">
                  <c:v>41.085345261562928</c:v>
                </c:pt>
                <c:pt idx="4">
                  <c:v>40.392898621881557</c:v>
                </c:pt>
                <c:pt idx="5">
                  <c:v>42.731634741901559</c:v>
                </c:pt>
                <c:pt idx="6">
                  <c:v>37.156484215307742</c:v>
                </c:pt>
              </c:numCache>
            </c:numRef>
          </c:val>
        </c:ser>
        <c:ser>
          <c:idx val="3"/>
          <c:order val="3"/>
          <c:tx>
            <c:strRef>
              <c:f>Sheet1!$L$2</c:f>
              <c:strCache>
                <c:ptCount val="1"/>
                <c:pt idx="0">
                  <c:v>NH3</c:v>
                </c:pt>
              </c:strCache>
            </c:strRef>
          </c:tx>
          <c:spPr>
            <a:solidFill>
              <a:srgbClr val="2CB4B4"/>
            </a:solidFill>
          </c:spPr>
          <c:invertIfNegative val="0"/>
          <c:dLbls>
            <c:dLbl>
              <c:idx val="0"/>
              <c:tx>
                <c:rich>
                  <a:bodyPr/>
                  <a:lstStyle/>
                  <a:p>
                    <a:r>
                      <a:rPr lang="en-US" sz="850" b="0">
                        <a:solidFill>
                          <a:schemeClr val="bg1"/>
                        </a:solidFill>
                      </a:rPr>
                      <a:t>7</a:t>
                    </a:r>
                    <a:r>
                      <a:rPr lang="sr-Latn-RS" sz="850" b="0">
                        <a:solidFill>
                          <a:schemeClr val="bg1"/>
                        </a:solidFill>
                      </a:rPr>
                      <a:t>.</a:t>
                    </a:r>
                    <a:r>
                      <a:rPr lang="en-US" sz="850" b="0">
                        <a:solidFill>
                          <a:schemeClr val="bg1"/>
                        </a:solidFill>
                      </a:rPr>
                      <a:t>8%</a:t>
                    </a:r>
                    <a:endParaRPr lang="en-US"/>
                  </a:p>
                </c:rich>
              </c:tx>
              <c:showLegendKey val="0"/>
              <c:showVal val="1"/>
              <c:showCatName val="0"/>
              <c:showSerName val="0"/>
              <c:showPercent val="0"/>
              <c:showBubbleSize val="0"/>
            </c:dLbl>
            <c:dLbl>
              <c:idx val="1"/>
              <c:tx>
                <c:rich>
                  <a:bodyPr/>
                  <a:lstStyle/>
                  <a:p>
                    <a:r>
                      <a:rPr lang="en-US" sz="850" b="0">
                        <a:solidFill>
                          <a:schemeClr val="bg1"/>
                        </a:solidFill>
                      </a:rPr>
                      <a:t>8</a:t>
                    </a:r>
                    <a:r>
                      <a:rPr lang="sr-Latn-RS" sz="850" b="0">
                        <a:solidFill>
                          <a:schemeClr val="bg1"/>
                        </a:solidFill>
                      </a:rPr>
                      <a:t>.</a:t>
                    </a:r>
                    <a:r>
                      <a:rPr lang="en-US" sz="850" b="0">
                        <a:solidFill>
                          <a:schemeClr val="bg1"/>
                        </a:solidFill>
                      </a:rPr>
                      <a:t>6%</a:t>
                    </a:r>
                    <a:endParaRPr lang="en-US"/>
                  </a:p>
                </c:rich>
              </c:tx>
              <c:showLegendKey val="0"/>
              <c:showVal val="1"/>
              <c:showCatName val="0"/>
              <c:showSerName val="0"/>
              <c:showPercent val="0"/>
              <c:showBubbleSize val="0"/>
            </c:dLbl>
            <c:dLbl>
              <c:idx val="2"/>
              <c:tx>
                <c:rich>
                  <a:bodyPr/>
                  <a:lstStyle/>
                  <a:p>
                    <a:r>
                      <a:rPr lang="en-US" sz="850" b="0">
                        <a:solidFill>
                          <a:schemeClr val="bg1"/>
                        </a:solidFill>
                      </a:rPr>
                      <a:t>8</a:t>
                    </a:r>
                    <a:r>
                      <a:rPr lang="sr-Latn-RS" sz="850" b="0">
                        <a:solidFill>
                          <a:schemeClr val="bg1"/>
                        </a:solidFill>
                      </a:rPr>
                      <a:t>.</a:t>
                    </a:r>
                    <a:r>
                      <a:rPr lang="en-US" sz="850" b="0">
                        <a:solidFill>
                          <a:schemeClr val="bg1"/>
                        </a:solidFill>
                      </a:rPr>
                      <a:t>0%</a:t>
                    </a:r>
                    <a:endParaRPr lang="en-US"/>
                  </a:p>
                </c:rich>
              </c:tx>
              <c:showLegendKey val="0"/>
              <c:showVal val="1"/>
              <c:showCatName val="0"/>
              <c:showSerName val="0"/>
              <c:showPercent val="0"/>
              <c:showBubbleSize val="0"/>
            </c:dLbl>
            <c:dLbl>
              <c:idx val="3"/>
              <c:tx>
                <c:rich>
                  <a:bodyPr/>
                  <a:lstStyle/>
                  <a:p>
                    <a:r>
                      <a:rPr lang="en-US" sz="850" b="0">
                        <a:solidFill>
                          <a:schemeClr val="bg1"/>
                        </a:solidFill>
                      </a:rPr>
                      <a:t>7</a:t>
                    </a:r>
                    <a:r>
                      <a:rPr lang="sr-Latn-RS" sz="850" b="0">
                        <a:solidFill>
                          <a:schemeClr val="bg1"/>
                        </a:solidFill>
                      </a:rPr>
                      <a:t>.</a:t>
                    </a:r>
                    <a:r>
                      <a:rPr lang="en-US" sz="850" b="0">
                        <a:solidFill>
                          <a:schemeClr val="bg1"/>
                        </a:solidFill>
                      </a:rPr>
                      <a:t>9%</a:t>
                    </a:r>
                    <a:endParaRPr lang="en-US"/>
                  </a:p>
                </c:rich>
              </c:tx>
              <c:showLegendKey val="0"/>
              <c:showVal val="1"/>
              <c:showCatName val="0"/>
              <c:showSerName val="0"/>
              <c:showPercent val="0"/>
              <c:showBubbleSize val="0"/>
            </c:dLbl>
            <c:dLbl>
              <c:idx val="4"/>
              <c:tx>
                <c:rich>
                  <a:bodyPr/>
                  <a:lstStyle/>
                  <a:p>
                    <a:r>
                      <a:rPr lang="en-US" sz="850" b="0">
                        <a:solidFill>
                          <a:schemeClr val="bg1"/>
                        </a:solidFill>
                      </a:rPr>
                      <a:t>8</a:t>
                    </a:r>
                    <a:r>
                      <a:rPr lang="sr-Latn-RS" sz="850" b="0">
                        <a:solidFill>
                          <a:schemeClr val="bg1"/>
                        </a:solidFill>
                      </a:rPr>
                      <a:t>.</a:t>
                    </a:r>
                    <a:r>
                      <a:rPr lang="en-US" sz="850" b="0">
                        <a:solidFill>
                          <a:schemeClr val="bg1"/>
                        </a:solidFill>
                      </a:rPr>
                      <a:t>7%</a:t>
                    </a:r>
                    <a:endParaRPr lang="en-US"/>
                  </a:p>
                </c:rich>
              </c:tx>
              <c:showLegendKey val="0"/>
              <c:showVal val="1"/>
              <c:showCatName val="0"/>
              <c:showSerName val="0"/>
              <c:showPercent val="0"/>
              <c:showBubbleSize val="0"/>
            </c:dLbl>
            <c:dLbl>
              <c:idx val="5"/>
              <c:tx>
                <c:rich>
                  <a:bodyPr/>
                  <a:lstStyle/>
                  <a:p>
                    <a:r>
                      <a:rPr lang="en-US" sz="850" b="0">
                        <a:solidFill>
                          <a:schemeClr val="bg1"/>
                        </a:solidFill>
                      </a:rPr>
                      <a:t>8</a:t>
                    </a:r>
                    <a:r>
                      <a:rPr lang="sr-Latn-RS" sz="850" b="0">
                        <a:solidFill>
                          <a:schemeClr val="bg1"/>
                        </a:solidFill>
                      </a:rPr>
                      <a:t>.</a:t>
                    </a:r>
                    <a:r>
                      <a:rPr lang="en-US" sz="850" b="0">
                        <a:solidFill>
                          <a:schemeClr val="bg1"/>
                        </a:solidFill>
                      </a:rPr>
                      <a:t>8%</a:t>
                    </a:r>
                    <a:endParaRPr lang="en-US"/>
                  </a:p>
                </c:rich>
              </c:tx>
              <c:showLegendKey val="0"/>
              <c:showVal val="1"/>
              <c:showCatName val="0"/>
              <c:showSerName val="0"/>
              <c:showPercent val="0"/>
              <c:showBubbleSize val="0"/>
            </c:dLbl>
            <c:dLbl>
              <c:idx val="6"/>
              <c:tx>
                <c:rich>
                  <a:bodyPr/>
                  <a:lstStyle/>
                  <a:p>
                    <a:r>
                      <a:rPr lang="en-US" sz="850" b="0">
                        <a:solidFill>
                          <a:schemeClr val="bg1"/>
                        </a:solidFill>
                      </a:rPr>
                      <a:t>9</a:t>
                    </a:r>
                    <a:r>
                      <a:rPr lang="sr-Latn-RS" sz="850" b="0">
                        <a:solidFill>
                          <a:schemeClr val="bg1"/>
                        </a:solidFill>
                      </a:rPr>
                      <a:t>.</a:t>
                    </a:r>
                    <a:r>
                      <a:rPr lang="en-US" sz="850" b="0">
                        <a:solidFill>
                          <a:schemeClr val="bg1"/>
                        </a:solidFill>
                      </a:rPr>
                      <a:t>8%</a:t>
                    </a:r>
                    <a:endParaRPr lang="en-US"/>
                  </a:p>
                </c:rich>
              </c:tx>
              <c:showLegendKey val="0"/>
              <c:showVal val="1"/>
              <c:showCatName val="0"/>
              <c:showSerName val="0"/>
              <c:showPercent val="0"/>
              <c:showBubbleSize val="0"/>
            </c:dLbl>
            <c:numFmt formatCode="#,##0.0" sourceLinked="0"/>
            <c:txPr>
              <a:bodyPr/>
              <a:lstStyle/>
              <a:p>
                <a:pPr>
                  <a:defRPr sz="850" b="0">
                    <a:solidFill>
                      <a:schemeClr val="bg1"/>
                    </a:solidFill>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Sheet1!$H$3:$H$9</c:f>
              <c:strCache>
                <c:ptCount val="7"/>
                <c:pt idx="0">
                  <c:v>2008</c:v>
                </c:pt>
                <c:pt idx="1">
                  <c:v>2009</c:v>
                </c:pt>
                <c:pt idx="2">
                  <c:v>2010</c:v>
                </c:pt>
                <c:pt idx="3">
                  <c:v>2011</c:v>
                </c:pt>
                <c:pt idx="4">
                  <c:v>2012</c:v>
                </c:pt>
                <c:pt idx="5">
                  <c:v>2013</c:v>
                </c:pt>
                <c:pt idx="6">
                  <c:v>2014</c:v>
                </c:pt>
              </c:strCache>
            </c:strRef>
          </c:cat>
          <c:val>
            <c:numRef>
              <c:f>Sheet1!$L$3:$L$9</c:f>
              <c:numCache>
                <c:formatCode>#,#00</c:formatCode>
                <c:ptCount val="7"/>
                <c:pt idx="0">
                  <c:v>7.8002177929197085</c:v>
                </c:pt>
                <c:pt idx="1">
                  <c:v>8.5807835906183936</c:v>
                </c:pt>
                <c:pt idx="2">
                  <c:v>8.0006162637700875</c:v>
                </c:pt>
                <c:pt idx="3">
                  <c:v>7.9115289146299865</c:v>
                </c:pt>
                <c:pt idx="4">
                  <c:v>8.6835712967308343</c:v>
                </c:pt>
                <c:pt idx="5">
                  <c:v>8.8356441486882158</c:v>
                </c:pt>
                <c:pt idx="6">
                  <c:v>9.7547126958891681</c:v>
                </c:pt>
              </c:numCache>
            </c:numRef>
          </c:val>
        </c:ser>
        <c:ser>
          <c:idx val="4"/>
          <c:order val="4"/>
          <c:tx>
            <c:strRef>
              <c:f>Sheet1!$M$2</c:f>
              <c:strCache>
                <c:ptCount val="1"/>
                <c:pt idx="0">
                  <c:v>CO </c:v>
                </c:pt>
              </c:strCache>
            </c:strRef>
          </c:tx>
          <c:spPr>
            <a:solidFill>
              <a:srgbClr val="4E6FB0"/>
            </a:solidFill>
          </c:spPr>
          <c:invertIfNegative val="0"/>
          <c:dLbls>
            <c:dLbl>
              <c:idx val="0"/>
              <c:tx>
                <c:rich>
                  <a:bodyPr/>
                  <a:lstStyle/>
                  <a:p>
                    <a:r>
                      <a:rPr lang="en-US" sz="850" b="0">
                        <a:solidFill>
                          <a:schemeClr val="bg1"/>
                        </a:solidFill>
                      </a:rPr>
                      <a:t>27</a:t>
                    </a:r>
                    <a:r>
                      <a:rPr lang="sr-Latn-RS" sz="850" b="0">
                        <a:solidFill>
                          <a:schemeClr val="bg1"/>
                        </a:solidFill>
                      </a:rPr>
                      <a:t>.</a:t>
                    </a:r>
                    <a:r>
                      <a:rPr lang="en-US" sz="850" b="0">
                        <a:solidFill>
                          <a:schemeClr val="bg1"/>
                        </a:solidFill>
                      </a:rPr>
                      <a:t>0%</a:t>
                    </a:r>
                    <a:endParaRPr lang="en-US"/>
                  </a:p>
                </c:rich>
              </c:tx>
              <c:showLegendKey val="0"/>
              <c:showVal val="1"/>
              <c:showCatName val="0"/>
              <c:showSerName val="0"/>
              <c:showPercent val="0"/>
              <c:showBubbleSize val="0"/>
            </c:dLbl>
            <c:dLbl>
              <c:idx val="1"/>
              <c:tx>
                <c:rich>
                  <a:bodyPr/>
                  <a:lstStyle/>
                  <a:p>
                    <a:r>
                      <a:rPr lang="en-US" sz="850" b="0">
                        <a:solidFill>
                          <a:schemeClr val="bg1"/>
                        </a:solidFill>
                      </a:rPr>
                      <a:t>28</a:t>
                    </a:r>
                    <a:r>
                      <a:rPr lang="sr-Latn-RS" sz="850" b="0">
                        <a:solidFill>
                          <a:schemeClr val="bg1"/>
                        </a:solidFill>
                      </a:rPr>
                      <a:t>.</a:t>
                    </a:r>
                    <a:r>
                      <a:rPr lang="en-US" sz="850" b="0">
                        <a:solidFill>
                          <a:schemeClr val="bg1"/>
                        </a:solidFill>
                      </a:rPr>
                      <a:t>6%</a:t>
                    </a:r>
                    <a:endParaRPr lang="en-US"/>
                  </a:p>
                </c:rich>
              </c:tx>
              <c:showLegendKey val="0"/>
              <c:showVal val="1"/>
              <c:showCatName val="0"/>
              <c:showSerName val="0"/>
              <c:showPercent val="0"/>
              <c:showBubbleSize val="0"/>
            </c:dLbl>
            <c:dLbl>
              <c:idx val="2"/>
              <c:tx>
                <c:rich>
                  <a:bodyPr/>
                  <a:lstStyle/>
                  <a:p>
                    <a:r>
                      <a:rPr lang="en-US" sz="850" b="0">
                        <a:solidFill>
                          <a:schemeClr val="bg1"/>
                        </a:solidFill>
                      </a:rPr>
                      <a:t>27</a:t>
                    </a:r>
                    <a:r>
                      <a:rPr lang="sr-Latn-RS" sz="850" b="0">
                        <a:solidFill>
                          <a:schemeClr val="bg1"/>
                        </a:solidFill>
                      </a:rPr>
                      <a:t>.</a:t>
                    </a:r>
                    <a:r>
                      <a:rPr lang="en-US" sz="850" b="0">
                        <a:solidFill>
                          <a:schemeClr val="bg1"/>
                        </a:solidFill>
                      </a:rPr>
                      <a:t>9%</a:t>
                    </a:r>
                    <a:endParaRPr lang="en-US"/>
                  </a:p>
                </c:rich>
              </c:tx>
              <c:showLegendKey val="0"/>
              <c:showVal val="1"/>
              <c:showCatName val="0"/>
              <c:showSerName val="0"/>
              <c:showPercent val="0"/>
              <c:showBubbleSize val="0"/>
            </c:dLbl>
            <c:dLbl>
              <c:idx val="3"/>
              <c:tx>
                <c:rich>
                  <a:bodyPr/>
                  <a:lstStyle/>
                  <a:p>
                    <a:r>
                      <a:rPr lang="en-US" sz="850" b="0">
                        <a:solidFill>
                          <a:schemeClr val="bg1"/>
                        </a:solidFill>
                      </a:rPr>
                      <a:t>25</a:t>
                    </a:r>
                    <a:r>
                      <a:rPr lang="sr-Latn-RS" sz="850" b="0">
                        <a:solidFill>
                          <a:schemeClr val="bg1"/>
                        </a:solidFill>
                      </a:rPr>
                      <a:t>.</a:t>
                    </a:r>
                    <a:r>
                      <a:rPr lang="en-US" sz="850" b="0">
                        <a:solidFill>
                          <a:schemeClr val="bg1"/>
                        </a:solidFill>
                      </a:rPr>
                      <a:t>4%</a:t>
                    </a:r>
                    <a:endParaRPr lang="en-US"/>
                  </a:p>
                </c:rich>
              </c:tx>
              <c:showLegendKey val="0"/>
              <c:showVal val="1"/>
              <c:showCatName val="0"/>
              <c:showSerName val="0"/>
              <c:showPercent val="0"/>
              <c:showBubbleSize val="0"/>
            </c:dLbl>
            <c:dLbl>
              <c:idx val="4"/>
              <c:tx>
                <c:rich>
                  <a:bodyPr/>
                  <a:lstStyle/>
                  <a:p>
                    <a:r>
                      <a:rPr lang="en-US" sz="850" b="0">
                        <a:solidFill>
                          <a:schemeClr val="bg1"/>
                        </a:solidFill>
                      </a:rPr>
                      <a:t>25</a:t>
                    </a:r>
                    <a:r>
                      <a:rPr lang="sr-Latn-RS" sz="850" b="0">
                        <a:solidFill>
                          <a:schemeClr val="bg1"/>
                        </a:solidFill>
                      </a:rPr>
                      <a:t>.</a:t>
                    </a:r>
                    <a:r>
                      <a:rPr lang="en-US" sz="850" b="0">
                        <a:solidFill>
                          <a:schemeClr val="bg1"/>
                        </a:solidFill>
                      </a:rPr>
                      <a:t>4%</a:t>
                    </a:r>
                    <a:endParaRPr lang="en-US"/>
                  </a:p>
                </c:rich>
              </c:tx>
              <c:showLegendKey val="0"/>
              <c:showVal val="1"/>
              <c:showCatName val="0"/>
              <c:showSerName val="0"/>
              <c:showPercent val="0"/>
              <c:showBubbleSize val="0"/>
            </c:dLbl>
            <c:dLbl>
              <c:idx val="5"/>
              <c:tx>
                <c:rich>
                  <a:bodyPr/>
                  <a:lstStyle/>
                  <a:p>
                    <a:r>
                      <a:rPr lang="en-US" sz="850" b="0">
                        <a:solidFill>
                          <a:schemeClr val="bg1"/>
                        </a:solidFill>
                      </a:rPr>
                      <a:t>22</a:t>
                    </a:r>
                    <a:r>
                      <a:rPr lang="sr-Latn-RS" sz="850" b="0">
                        <a:solidFill>
                          <a:schemeClr val="bg1"/>
                        </a:solidFill>
                      </a:rPr>
                      <a:t>.</a:t>
                    </a:r>
                    <a:r>
                      <a:rPr lang="en-US" sz="850" b="0">
                        <a:solidFill>
                          <a:schemeClr val="bg1"/>
                        </a:solidFill>
                      </a:rPr>
                      <a:t>7%</a:t>
                    </a:r>
                    <a:endParaRPr lang="en-US"/>
                  </a:p>
                </c:rich>
              </c:tx>
              <c:showLegendKey val="0"/>
              <c:showVal val="1"/>
              <c:showCatName val="0"/>
              <c:showSerName val="0"/>
              <c:showPercent val="0"/>
              <c:showBubbleSize val="0"/>
            </c:dLbl>
            <c:dLbl>
              <c:idx val="6"/>
              <c:tx>
                <c:rich>
                  <a:bodyPr/>
                  <a:lstStyle/>
                  <a:p>
                    <a:r>
                      <a:rPr lang="en-US" sz="850" b="0">
                        <a:solidFill>
                          <a:schemeClr val="bg1"/>
                        </a:solidFill>
                      </a:rPr>
                      <a:t>26</a:t>
                    </a:r>
                    <a:r>
                      <a:rPr lang="sr-Latn-RS" sz="850" b="0">
                        <a:solidFill>
                          <a:schemeClr val="bg1"/>
                        </a:solidFill>
                      </a:rPr>
                      <a:t>.</a:t>
                    </a:r>
                    <a:r>
                      <a:rPr lang="en-US" sz="850" b="0">
                        <a:solidFill>
                          <a:schemeClr val="bg1"/>
                        </a:solidFill>
                      </a:rPr>
                      <a:t>8%</a:t>
                    </a:r>
                    <a:endParaRPr lang="en-US"/>
                  </a:p>
                </c:rich>
              </c:tx>
              <c:showLegendKey val="0"/>
              <c:showVal val="1"/>
              <c:showCatName val="0"/>
              <c:showSerName val="0"/>
              <c:showPercent val="0"/>
              <c:showBubbleSize val="0"/>
            </c:dLbl>
            <c:numFmt formatCode="#,##0.0" sourceLinked="0"/>
            <c:txPr>
              <a:bodyPr/>
              <a:lstStyle/>
              <a:p>
                <a:pPr>
                  <a:defRPr sz="850" b="0">
                    <a:solidFill>
                      <a:schemeClr val="bg1"/>
                    </a:solidFill>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Sheet1!$H$3:$H$9</c:f>
              <c:strCache>
                <c:ptCount val="7"/>
                <c:pt idx="0">
                  <c:v>2008</c:v>
                </c:pt>
                <c:pt idx="1">
                  <c:v>2009</c:v>
                </c:pt>
                <c:pt idx="2">
                  <c:v>2010</c:v>
                </c:pt>
                <c:pt idx="3">
                  <c:v>2011</c:v>
                </c:pt>
                <c:pt idx="4">
                  <c:v>2012</c:v>
                </c:pt>
                <c:pt idx="5">
                  <c:v>2013</c:v>
                </c:pt>
                <c:pt idx="6">
                  <c:v>2014</c:v>
                </c:pt>
              </c:strCache>
            </c:strRef>
          </c:cat>
          <c:val>
            <c:numRef>
              <c:f>Sheet1!$M$3:$M$9</c:f>
              <c:numCache>
                <c:formatCode>#,#00</c:formatCode>
                <c:ptCount val="7"/>
                <c:pt idx="0">
                  <c:v>26.95883557829632</c:v>
                </c:pt>
                <c:pt idx="1">
                  <c:v>28.550082511449094</c:v>
                </c:pt>
                <c:pt idx="2">
                  <c:v>27.945102783911512</c:v>
                </c:pt>
                <c:pt idx="3">
                  <c:v>25.437026226644079</c:v>
                </c:pt>
                <c:pt idx="4">
                  <c:v>25.370585977570116</c:v>
                </c:pt>
                <c:pt idx="5">
                  <c:v>22.714791029789382</c:v>
                </c:pt>
                <c:pt idx="6">
                  <c:v>26.845332727685673</c:v>
                </c:pt>
              </c:numCache>
            </c:numRef>
          </c:val>
        </c:ser>
        <c:dLbls>
          <c:showLegendKey val="0"/>
          <c:showVal val="0"/>
          <c:showCatName val="0"/>
          <c:showSerName val="0"/>
          <c:showPercent val="0"/>
          <c:showBubbleSize val="0"/>
        </c:dLbls>
        <c:gapWidth val="25"/>
        <c:overlap val="100"/>
        <c:axId val="234321792"/>
        <c:axId val="234323328"/>
      </c:barChart>
      <c:catAx>
        <c:axId val="234321792"/>
        <c:scaling>
          <c:orientation val="minMax"/>
        </c:scaling>
        <c:delete val="0"/>
        <c:axPos val="b"/>
        <c:majorTickMark val="none"/>
        <c:minorTickMark val="none"/>
        <c:tickLblPos val="nextTo"/>
        <c:txPr>
          <a:bodyPr/>
          <a:lstStyle/>
          <a:p>
            <a:pPr>
              <a:defRPr sz="850">
                <a:latin typeface="Arial" pitchFamily="34" charset="0"/>
                <a:cs typeface="Arial" pitchFamily="34" charset="0"/>
              </a:defRPr>
            </a:pPr>
            <a:endParaRPr lang="en-US"/>
          </a:p>
        </c:txPr>
        <c:crossAx val="234323328"/>
        <c:crosses val="autoZero"/>
        <c:auto val="1"/>
        <c:lblAlgn val="ctr"/>
        <c:lblOffset val="100"/>
        <c:noMultiLvlLbl val="0"/>
      </c:catAx>
      <c:valAx>
        <c:axId val="234323328"/>
        <c:scaling>
          <c:orientation val="minMax"/>
          <c:max val="100"/>
        </c:scaling>
        <c:delete val="1"/>
        <c:axPos val="l"/>
        <c:majorGridlines>
          <c:spPr>
            <a:ln>
              <a:noFill/>
            </a:ln>
          </c:spPr>
        </c:majorGridlines>
        <c:numFmt formatCode="#,##0.0" sourceLinked="0"/>
        <c:majorTickMark val="none"/>
        <c:minorTickMark val="none"/>
        <c:tickLblPos val="nextTo"/>
        <c:crossAx val="234321792"/>
        <c:crosses val="autoZero"/>
        <c:crossBetween val="between"/>
      </c:valAx>
    </c:plotArea>
    <c:legend>
      <c:legendPos val="b"/>
      <c:overlay val="0"/>
      <c:txPr>
        <a:bodyPr/>
        <a:lstStyle/>
        <a:p>
          <a:pPr>
            <a:defRPr sz="85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Latn-RS" sz="1000">
                <a:latin typeface="Arial" pitchFamily="34" charset="0"/>
                <a:cs typeface="Arial" pitchFamily="34" charset="0"/>
              </a:rPr>
              <a:t>Emission of greenhouse gases, Republic of Serbia</a:t>
            </a:r>
            <a:r>
              <a:rPr lang="sr-Cyrl-RS" sz="1000">
                <a:latin typeface="Arial" pitchFamily="34" charset="0"/>
                <a:cs typeface="Arial" pitchFamily="34" charset="0"/>
              </a:rPr>
              <a:t>, 2010‒2013</a:t>
            </a:r>
            <a:endParaRPr lang="en-US" sz="1000">
              <a:latin typeface="Arial" pitchFamily="34" charset="0"/>
              <a:cs typeface="Arial" pitchFamily="34" charset="0"/>
            </a:endParaRPr>
          </a:p>
        </c:rich>
      </c:tx>
      <c:layout>
        <c:manualLayout>
          <c:xMode val="edge"/>
          <c:yMode val="edge"/>
          <c:x val="0.12702561728395062"/>
          <c:y val="1.3888888888888888E-2"/>
        </c:manualLayout>
      </c:layout>
      <c:overlay val="0"/>
    </c:title>
    <c:autoTitleDeleted val="0"/>
    <c:plotArea>
      <c:layout>
        <c:manualLayout>
          <c:layoutTarget val="inner"/>
          <c:xMode val="edge"/>
          <c:yMode val="edge"/>
          <c:x val="4.3117283950617286E-2"/>
          <c:y val="0.19907407407407407"/>
          <c:w val="0.91376543209876548"/>
          <c:h val="0.61377333041703119"/>
        </c:manualLayout>
      </c:layout>
      <c:barChart>
        <c:barDir val="col"/>
        <c:grouping val="stacked"/>
        <c:varyColors val="0"/>
        <c:ser>
          <c:idx val="0"/>
          <c:order val="0"/>
          <c:tx>
            <c:strRef>
              <c:f>Sheet1!$I$47</c:f>
              <c:strCache>
                <c:ptCount val="1"/>
                <c:pt idx="0">
                  <c:v>CO2</c:v>
                </c:pt>
              </c:strCache>
            </c:strRef>
          </c:tx>
          <c:spPr>
            <a:solidFill>
              <a:srgbClr val="4E6FB0"/>
            </a:solidFill>
          </c:spPr>
          <c:invertIfNegative val="0"/>
          <c:dLbls>
            <c:dLbl>
              <c:idx val="0"/>
              <c:tx>
                <c:rich>
                  <a:bodyPr/>
                  <a:lstStyle/>
                  <a:p>
                    <a:r>
                      <a:rPr lang="en-US" b="0"/>
                      <a:t>97</a:t>
                    </a:r>
                    <a:r>
                      <a:rPr lang="sr-Latn-RS" b="0"/>
                      <a:t>.</a:t>
                    </a:r>
                    <a:r>
                      <a:rPr lang="en-US" b="0"/>
                      <a:t>5%</a:t>
                    </a:r>
                    <a:endParaRPr lang="en-US"/>
                  </a:p>
                </c:rich>
              </c:tx>
              <c:dLblPos val="ctr"/>
              <c:showLegendKey val="0"/>
              <c:showVal val="1"/>
              <c:showCatName val="1"/>
              <c:showSerName val="0"/>
              <c:showPercent val="0"/>
              <c:showBubbleSize val="0"/>
            </c:dLbl>
            <c:dLbl>
              <c:idx val="1"/>
              <c:tx>
                <c:rich>
                  <a:bodyPr/>
                  <a:lstStyle/>
                  <a:p>
                    <a:r>
                      <a:rPr lang="en-US" b="0"/>
                      <a:t>97</a:t>
                    </a:r>
                    <a:r>
                      <a:rPr lang="sr-Latn-RS" b="0"/>
                      <a:t>.</a:t>
                    </a:r>
                    <a:r>
                      <a:rPr lang="en-US" b="0"/>
                      <a:t>2%</a:t>
                    </a:r>
                    <a:endParaRPr lang="en-US"/>
                  </a:p>
                </c:rich>
              </c:tx>
              <c:dLblPos val="ctr"/>
              <c:showLegendKey val="0"/>
              <c:showVal val="1"/>
              <c:showCatName val="1"/>
              <c:showSerName val="0"/>
              <c:showPercent val="0"/>
              <c:showBubbleSize val="0"/>
            </c:dLbl>
            <c:dLbl>
              <c:idx val="2"/>
              <c:tx>
                <c:rich>
                  <a:bodyPr/>
                  <a:lstStyle/>
                  <a:p>
                    <a:r>
                      <a:rPr lang="en-US" b="0"/>
                      <a:t>90</a:t>
                    </a:r>
                    <a:r>
                      <a:rPr lang="sr-Latn-RS" b="0"/>
                      <a:t>.</a:t>
                    </a:r>
                    <a:r>
                      <a:rPr lang="en-US" b="0"/>
                      <a:t>9%</a:t>
                    </a:r>
                    <a:endParaRPr lang="en-US"/>
                  </a:p>
                </c:rich>
              </c:tx>
              <c:dLblPos val="ctr"/>
              <c:showLegendKey val="0"/>
              <c:showVal val="1"/>
              <c:showCatName val="1"/>
              <c:showSerName val="0"/>
              <c:showPercent val="0"/>
              <c:showBubbleSize val="0"/>
            </c:dLbl>
            <c:dLbl>
              <c:idx val="3"/>
              <c:tx>
                <c:rich>
                  <a:bodyPr/>
                  <a:lstStyle/>
                  <a:p>
                    <a:r>
                      <a:rPr lang="en-US" b="0"/>
                      <a:t>90</a:t>
                    </a:r>
                    <a:r>
                      <a:rPr lang="sr-Latn-RS" b="0"/>
                      <a:t>.</a:t>
                    </a:r>
                    <a:r>
                      <a:rPr lang="en-US" b="0"/>
                      <a:t>8%</a:t>
                    </a:r>
                    <a:endParaRPr lang="en-US"/>
                  </a:p>
                </c:rich>
              </c:tx>
              <c:dLblPos val="ctr"/>
              <c:showLegendKey val="0"/>
              <c:showVal val="1"/>
              <c:showCatName val="1"/>
              <c:showSerName val="0"/>
              <c:showPercent val="0"/>
              <c:showBubbleSize val="0"/>
            </c:dLbl>
            <c:numFmt formatCode="#,##0.0" sourceLinked="0"/>
            <c:txPr>
              <a:bodyPr/>
              <a:lstStyle/>
              <a:p>
                <a:pPr>
                  <a:defRPr sz="850" b="0">
                    <a:solidFill>
                      <a:schemeClr val="bg1"/>
                    </a:solidFill>
                    <a:latin typeface="Arial" pitchFamily="34" charset="0"/>
                    <a:cs typeface="Arial" pitchFamily="34" charset="0"/>
                  </a:defRPr>
                </a:pPr>
                <a:endParaRPr lang="en-US"/>
              </a:p>
            </c:txPr>
            <c:dLblPos val="ctr"/>
            <c:showLegendKey val="0"/>
            <c:showVal val="1"/>
            <c:showCatName val="1"/>
            <c:showSerName val="0"/>
            <c:showPercent val="0"/>
            <c:showBubbleSize val="0"/>
            <c:showLeaderLines val="0"/>
          </c:dLbls>
          <c:cat>
            <c:strRef>
              <c:f>Sheet1!$H$48:$H$51</c:f>
              <c:strCache>
                <c:ptCount val="4"/>
                <c:pt idx="0">
                  <c:v>2010</c:v>
                </c:pt>
                <c:pt idx="1">
                  <c:v>2011</c:v>
                </c:pt>
                <c:pt idx="2">
                  <c:v>2012</c:v>
                </c:pt>
                <c:pt idx="3">
                  <c:v>2013</c:v>
                </c:pt>
              </c:strCache>
            </c:strRef>
          </c:cat>
          <c:val>
            <c:numRef>
              <c:f>Sheet1!$I$48:$I$51</c:f>
              <c:numCache>
                <c:formatCode>#,#00</c:formatCode>
                <c:ptCount val="4"/>
                <c:pt idx="0">
                  <c:v>97.48892138919139</c:v>
                </c:pt>
                <c:pt idx="1">
                  <c:v>97.236242751461532</c:v>
                </c:pt>
                <c:pt idx="2">
                  <c:v>90.928689576246072</c:v>
                </c:pt>
                <c:pt idx="3">
                  <c:v>90.810529597419389</c:v>
                </c:pt>
              </c:numCache>
            </c:numRef>
          </c:val>
        </c:ser>
        <c:ser>
          <c:idx val="1"/>
          <c:order val="1"/>
          <c:tx>
            <c:strRef>
              <c:f>Sheet1!$J$47</c:f>
              <c:strCache>
                <c:ptCount val="1"/>
                <c:pt idx="0">
                  <c:v>CO2 from biomass</c:v>
                </c:pt>
              </c:strCache>
            </c:strRef>
          </c:tx>
          <c:spPr>
            <a:solidFill>
              <a:srgbClr val="C6D776"/>
            </a:solidFill>
          </c:spPr>
          <c:invertIfNegative val="0"/>
          <c:cat>
            <c:strRef>
              <c:f>Sheet1!$H$48:$H$51</c:f>
              <c:strCache>
                <c:ptCount val="4"/>
                <c:pt idx="0">
                  <c:v>2010</c:v>
                </c:pt>
                <c:pt idx="1">
                  <c:v>2011</c:v>
                </c:pt>
                <c:pt idx="2">
                  <c:v>2012</c:v>
                </c:pt>
                <c:pt idx="3">
                  <c:v>2013</c:v>
                </c:pt>
              </c:strCache>
            </c:strRef>
          </c:cat>
          <c:val>
            <c:numRef>
              <c:f>Sheet1!$J$48:$J$51</c:f>
              <c:numCache>
                <c:formatCode>#,#00</c:formatCode>
                <c:ptCount val="4"/>
                <c:pt idx="0">
                  <c:v>2.199836860136128</c:v>
                </c:pt>
                <c:pt idx="1">
                  <c:v>2.4262443705110712</c:v>
                </c:pt>
                <c:pt idx="2">
                  <c:v>8.6289298807805004</c:v>
                </c:pt>
                <c:pt idx="3">
                  <c:v>8.6814053884014708</c:v>
                </c:pt>
              </c:numCache>
            </c:numRef>
          </c:val>
        </c:ser>
        <c:ser>
          <c:idx val="2"/>
          <c:order val="2"/>
          <c:tx>
            <c:strRef>
              <c:f>Sheet1!$K$47</c:f>
              <c:strCache>
                <c:ptCount val="1"/>
              </c:strCache>
            </c:strRef>
          </c:tx>
          <c:spPr>
            <a:solidFill>
              <a:schemeClr val="bg1"/>
            </a:solidFill>
          </c:spPr>
          <c:invertIfNegative val="0"/>
          <c:cat>
            <c:strRef>
              <c:f>Sheet1!$H$48:$H$51</c:f>
              <c:strCache>
                <c:ptCount val="4"/>
                <c:pt idx="0">
                  <c:v>2010</c:v>
                </c:pt>
                <c:pt idx="1">
                  <c:v>2011</c:v>
                </c:pt>
                <c:pt idx="2">
                  <c:v>2012</c:v>
                </c:pt>
                <c:pt idx="3">
                  <c:v>2013</c:v>
                </c:pt>
              </c:strCache>
            </c:strRef>
          </c:cat>
          <c:val>
            <c:numRef>
              <c:f>Sheet1!$K$48:$K$51</c:f>
              <c:numCache>
                <c:formatCode>General</c:formatCode>
                <c:ptCount val="4"/>
              </c:numCache>
            </c:numRef>
          </c:val>
        </c:ser>
        <c:ser>
          <c:idx val="3"/>
          <c:order val="3"/>
          <c:tx>
            <c:strRef>
              <c:f>Sheet1!$L$47</c:f>
              <c:strCache>
                <c:ptCount val="1"/>
                <c:pt idx="0">
                  <c:v>CH4=0.2%</c:v>
                </c:pt>
              </c:strCache>
            </c:strRef>
          </c:tx>
          <c:spPr>
            <a:solidFill>
              <a:srgbClr val="2CB4B4"/>
            </a:solidFill>
          </c:spPr>
          <c:invertIfNegative val="0"/>
          <c:cat>
            <c:strRef>
              <c:f>Sheet1!$H$48:$H$51</c:f>
              <c:strCache>
                <c:ptCount val="4"/>
                <c:pt idx="0">
                  <c:v>2010</c:v>
                </c:pt>
                <c:pt idx="1">
                  <c:v>2011</c:v>
                </c:pt>
                <c:pt idx="2">
                  <c:v>2012</c:v>
                </c:pt>
                <c:pt idx="3">
                  <c:v>2013</c:v>
                </c:pt>
              </c:strCache>
            </c:strRef>
          </c:cat>
          <c:val>
            <c:numRef>
              <c:f>Sheet1!$L$48:$L$51</c:f>
              <c:numCache>
                <c:formatCode>#,#00</c:formatCode>
                <c:ptCount val="4"/>
                <c:pt idx="0">
                  <c:v>0.20838392609111137</c:v>
                </c:pt>
                <c:pt idx="1">
                  <c:v>0.2107288596421209</c:v>
                </c:pt>
                <c:pt idx="2">
                  <c:v>0.17653953267034531</c:v>
                </c:pt>
                <c:pt idx="3">
                  <c:v>0.16679657912074428</c:v>
                </c:pt>
              </c:numCache>
            </c:numRef>
          </c:val>
        </c:ser>
        <c:ser>
          <c:idx val="4"/>
          <c:order val="4"/>
          <c:tx>
            <c:strRef>
              <c:f>Sheet1!$M$47</c:f>
              <c:strCache>
                <c:ptCount val="1"/>
                <c:pt idx="0">
                  <c:v>N2O&lt;0.3%</c:v>
                </c:pt>
              </c:strCache>
            </c:strRef>
          </c:tx>
          <c:spPr>
            <a:solidFill>
              <a:srgbClr val="EADC1F"/>
            </a:solidFill>
          </c:spPr>
          <c:invertIfNegative val="0"/>
          <c:dLbls>
            <c:dLbl>
              <c:idx val="0"/>
              <c:tx>
                <c:rich>
                  <a:bodyPr/>
                  <a:lstStyle/>
                  <a:p>
                    <a:r>
                      <a:rPr lang="en-US" b="0">
                        <a:solidFill>
                          <a:sysClr val="windowText" lastClr="000000"/>
                        </a:solidFill>
                      </a:rPr>
                      <a:t>2</a:t>
                    </a:r>
                    <a:r>
                      <a:rPr lang="sr-Latn-RS" b="0">
                        <a:solidFill>
                          <a:sysClr val="windowText" lastClr="000000"/>
                        </a:solidFill>
                      </a:rPr>
                      <a:t>.</a:t>
                    </a:r>
                    <a:r>
                      <a:rPr lang="en-US" b="0">
                        <a:solidFill>
                          <a:sysClr val="windowText" lastClr="000000"/>
                        </a:solidFill>
                      </a:rPr>
                      <a:t>2%</a:t>
                    </a:r>
                    <a:endParaRPr lang="en-US"/>
                  </a:p>
                </c:rich>
              </c:tx>
              <c:dLblPos val="ctr"/>
              <c:showLegendKey val="0"/>
              <c:showVal val="1"/>
              <c:showCatName val="0"/>
              <c:showSerName val="0"/>
              <c:showPercent val="0"/>
              <c:showBubbleSize val="0"/>
            </c:dLbl>
            <c:dLbl>
              <c:idx val="1"/>
              <c:tx>
                <c:rich>
                  <a:bodyPr/>
                  <a:lstStyle/>
                  <a:p>
                    <a:r>
                      <a:rPr lang="en-US" b="0">
                        <a:solidFill>
                          <a:sysClr val="windowText" lastClr="000000"/>
                        </a:solidFill>
                      </a:rPr>
                      <a:t>2</a:t>
                    </a:r>
                    <a:r>
                      <a:rPr lang="sr-Latn-RS" b="0">
                        <a:solidFill>
                          <a:sysClr val="windowText" lastClr="000000"/>
                        </a:solidFill>
                      </a:rPr>
                      <a:t>.</a:t>
                    </a:r>
                    <a:r>
                      <a:rPr lang="en-US" b="0">
                        <a:solidFill>
                          <a:sysClr val="windowText" lastClr="000000"/>
                        </a:solidFill>
                      </a:rPr>
                      <a:t>4%</a:t>
                    </a:r>
                    <a:endParaRPr lang="en-US"/>
                  </a:p>
                </c:rich>
              </c:tx>
              <c:dLblPos val="ctr"/>
              <c:showLegendKey val="0"/>
              <c:showVal val="1"/>
              <c:showCatName val="0"/>
              <c:showSerName val="0"/>
              <c:showPercent val="0"/>
              <c:showBubbleSize val="0"/>
            </c:dLbl>
            <c:dLbl>
              <c:idx val="2"/>
              <c:tx>
                <c:rich>
                  <a:bodyPr/>
                  <a:lstStyle/>
                  <a:p>
                    <a:r>
                      <a:rPr lang="en-US" b="0">
                        <a:solidFill>
                          <a:sysClr val="windowText" lastClr="000000"/>
                        </a:solidFill>
                      </a:rPr>
                      <a:t>8</a:t>
                    </a:r>
                    <a:r>
                      <a:rPr lang="sr-Latn-RS" b="0">
                        <a:solidFill>
                          <a:sysClr val="windowText" lastClr="000000"/>
                        </a:solidFill>
                      </a:rPr>
                      <a:t>.</a:t>
                    </a:r>
                    <a:r>
                      <a:rPr lang="en-US" b="0">
                        <a:solidFill>
                          <a:sysClr val="windowText" lastClr="000000"/>
                        </a:solidFill>
                      </a:rPr>
                      <a:t>6%</a:t>
                    </a:r>
                    <a:endParaRPr lang="en-US"/>
                  </a:p>
                </c:rich>
              </c:tx>
              <c:dLblPos val="ctr"/>
              <c:showLegendKey val="0"/>
              <c:showVal val="1"/>
              <c:showCatName val="0"/>
              <c:showSerName val="0"/>
              <c:showPercent val="0"/>
              <c:showBubbleSize val="0"/>
            </c:dLbl>
            <c:dLbl>
              <c:idx val="3"/>
              <c:tx>
                <c:rich>
                  <a:bodyPr/>
                  <a:lstStyle/>
                  <a:p>
                    <a:r>
                      <a:rPr lang="en-US" b="0">
                        <a:solidFill>
                          <a:sysClr val="windowText" lastClr="000000"/>
                        </a:solidFill>
                      </a:rPr>
                      <a:t>8</a:t>
                    </a:r>
                    <a:r>
                      <a:rPr lang="sr-Latn-RS" b="0">
                        <a:solidFill>
                          <a:sysClr val="windowText" lastClr="000000"/>
                        </a:solidFill>
                      </a:rPr>
                      <a:t>.</a:t>
                    </a:r>
                    <a:r>
                      <a:rPr lang="en-US" b="0">
                        <a:solidFill>
                          <a:sysClr val="windowText" lastClr="000000"/>
                        </a:solidFill>
                      </a:rPr>
                      <a:t>7%</a:t>
                    </a:r>
                    <a:endParaRPr lang="en-US"/>
                  </a:p>
                </c:rich>
              </c:tx>
              <c:dLblPos val="ctr"/>
              <c:showLegendKey val="0"/>
              <c:showVal val="1"/>
              <c:showCatName val="0"/>
              <c:showSerName val="0"/>
              <c:showPercent val="0"/>
              <c:showBubbleSize val="0"/>
            </c:dLbl>
            <c:numFmt formatCode="#,##0.0" sourceLinked="0"/>
            <c:txPr>
              <a:bodyPr/>
              <a:lstStyle/>
              <a:p>
                <a:pPr>
                  <a:defRPr sz="850" b="0">
                    <a:solidFill>
                      <a:sysClr val="windowText" lastClr="000000"/>
                    </a:solidFill>
                    <a:latin typeface="Arial" pitchFamily="34" charset="0"/>
                    <a:cs typeface="Arial" pitchFamily="34" charset="0"/>
                  </a:defRPr>
                </a:pPr>
                <a:endParaRPr lang="en-US"/>
              </a:p>
            </c:txPr>
            <c:dLblPos val="ctr"/>
            <c:showLegendKey val="0"/>
            <c:showVal val="1"/>
            <c:showCatName val="0"/>
            <c:showSerName val="0"/>
            <c:showPercent val="0"/>
            <c:showBubbleSize val="0"/>
            <c:showLeaderLines val="0"/>
          </c:dLbls>
          <c:cat>
            <c:strRef>
              <c:f>Sheet1!$H$48:$H$51</c:f>
              <c:strCache>
                <c:ptCount val="4"/>
                <c:pt idx="0">
                  <c:v>2010</c:v>
                </c:pt>
                <c:pt idx="1">
                  <c:v>2011</c:v>
                </c:pt>
                <c:pt idx="2">
                  <c:v>2012</c:v>
                </c:pt>
                <c:pt idx="3">
                  <c:v>2013</c:v>
                </c:pt>
              </c:strCache>
            </c:strRef>
          </c:cat>
          <c:val>
            <c:numRef>
              <c:f>Sheet1!$M$48:$M$51</c:f>
              <c:numCache>
                <c:formatCode>#,#00</c:formatCode>
                <c:ptCount val="4"/>
                <c:pt idx="0">
                  <c:v>4.1755523707309138E-3</c:v>
                </c:pt>
                <c:pt idx="1">
                  <c:v>4.7050132373180533E-3</c:v>
                </c:pt>
                <c:pt idx="2">
                  <c:v>5.4320802493141472E-3</c:v>
                </c:pt>
                <c:pt idx="3">
                  <c:v>5.6766162639003328E-3</c:v>
                </c:pt>
              </c:numCache>
            </c:numRef>
          </c:val>
        </c:ser>
        <c:ser>
          <c:idx val="5"/>
          <c:order val="5"/>
          <c:tx>
            <c:strRef>
              <c:f>Sheet1!$N$47</c:f>
              <c:strCache>
                <c:ptCount val="1"/>
                <c:pt idx="0">
                  <c:v>HFCs&lt;=0.3%</c:v>
                </c:pt>
              </c:strCache>
            </c:strRef>
          </c:tx>
          <c:invertIfNegative val="0"/>
          <c:cat>
            <c:strRef>
              <c:f>Sheet1!$H$48:$H$51</c:f>
              <c:strCache>
                <c:ptCount val="4"/>
                <c:pt idx="0">
                  <c:v>2010</c:v>
                </c:pt>
                <c:pt idx="1">
                  <c:v>2011</c:v>
                </c:pt>
                <c:pt idx="2">
                  <c:v>2012</c:v>
                </c:pt>
                <c:pt idx="3">
                  <c:v>2013</c:v>
                </c:pt>
              </c:strCache>
            </c:strRef>
          </c:cat>
          <c:val>
            <c:numRef>
              <c:f>Sheet1!$N$48:$N$51</c:f>
              <c:numCache>
                <c:formatCode>#,#00</c:formatCode>
                <c:ptCount val="4"/>
                <c:pt idx="0">
                  <c:v>0.14026961918100364</c:v>
                </c:pt>
                <c:pt idx="1">
                  <c:v>0.15626833211973126</c:v>
                </c:pt>
                <c:pt idx="2">
                  <c:v>0.22621960308199249</c:v>
                </c:pt>
                <c:pt idx="3">
                  <c:v>0.29400447182413408</c:v>
                </c:pt>
              </c:numCache>
            </c:numRef>
          </c:val>
        </c:ser>
        <c:dLbls>
          <c:showLegendKey val="0"/>
          <c:showVal val="0"/>
          <c:showCatName val="0"/>
          <c:showSerName val="0"/>
          <c:showPercent val="0"/>
          <c:showBubbleSize val="0"/>
        </c:dLbls>
        <c:gapWidth val="55"/>
        <c:overlap val="100"/>
        <c:axId val="234418560"/>
        <c:axId val="234420096"/>
      </c:barChart>
      <c:catAx>
        <c:axId val="234418560"/>
        <c:scaling>
          <c:orientation val="minMax"/>
        </c:scaling>
        <c:delete val="0"/>
        <c:axPos val="b"/>
        <c:majorTickMark val="none"/>
        <c:minorTickMark val="none"/>
        <c:tickLblPos val="nextTo"/>
        <c:txPr>
          <a:bodyPr/>
          <a:lstStyle/>
          <a:p>
            <a:pPr>
              <a:defRPr sz="850">
                <a:latin typeface="Arial" pitchFamily="34" charset="0"/>
                <a:cs typeface="Arial" pitchFamily="34" charset="0"/>
              </a:defRPr>
            </a:pPr>
            <a:endParaRPr lang="en-US"/>
          </a:p>
        </c:txPr>
        <c:crossAx val="234420096"/>
        <c:crosses val="autoZero"/>
        <c:auto val="1"/>
        <c:lblAlgn val="ctr"/>
        <c:lblOffset val="100"/>
        <c:noMultiLvlLbl val="0"/>
      </c:catAx>
      <c:valAx>
        <c:axId val="234420096"/>
        <c:scaling>
          <c:orientation val="minMax"/>
          <c:max val="100"/>
          <c:min val="0"/>
        </c:scaling>
        <c:delete val="1"/>
        <c:axPos val="l"/>
        <c:majorGridlines>
          <c:spPr>
            <a:ln>
              <a:noFill/>
            </a:ln>
          </c:spPr>
        </c:majorGridlines>
        <c:numFmt formatCode="#,#00" sourceLinked="1"/>
        <c:majorTickMark val="none"/>
        <c:minorTickMark val="none"/>
        <c:tickLblPos val="nextTo"/>
        <c:crossAx val="234418560"/>
        <c:crosses val="autoZero"/>
        <c:crossBetween val="between"/>
        <c:majorUnit val="10"/>
        <c:minorUnit val="1"/>
      </c:valAx>
    </c:plotArea>
    <c:legend>
      <c:legendPos val="b"/>
      <c:layout>
        <c:manualLayout>
          <c:xMode val="edge"/>
          <c:yMode val="edge"/>
          <c:x val="0"/>
          <c:y val="0.88497411781860602"/>
          <c:w val="0.99799382716049378"/>
          <c:h val="0.11502588218139399"/>
        </c:manualLayout>
      </c:layout>
      <c:overlay val="0"/>
      <c:txPr>
        <a:bodyPr/>
        <a:lstStyle/>
        <a:p>
          <a:pPr>
            <a:defRPr sz="85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3892-EF43-4774-A456-E23B857C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4971</CharactersWithSpaces>
  <SharedDoc>false</SharedDoc>
  <HLinks>
    <vt:vector size="6" baseType="variant">
      <vt:variant>
        <vt:i4>2883646</vt:i4>
      </vt:variant>
      <vt:variant>
        <vt:i4>3</vt:i4>
      </vt:variant>
      <vt:variant>
        <vt:i4>0</vt:i4>
      </vt:variant>
      <vt:variant>
        <vt:i4>5</vt:i4>
      </vt:variant>
      <vt:variant>
        <vt:lpwstr>http://webrzs.stat.gov.rs/WebSite/Public/PageView.aspx?pKey=64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6</cp:revision>
  <cp:lastPrinted>2016-09-13T12:56:00Z</cp:lastPrinted>
  <dcterms:created xsi:type="dcterms:W3CDTF">2016-09-16T11:21:00Z</dcterms:created>
  <dcterms:modified xsi:type="dcterms:W3CDTF">2016-09-19T06:25:00Z</dcterms:modified>
</cp:coreProperties>
</file>