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66240EB" Type="http://schemas.openxmlformats.org/officeDocument/2006/relationships/officeDocument" Target="/word/document.xml" /><Relationship Id="coreR566240EB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tbl>
      <w:tblPr>
        <w:tblStyle w:val="T2"/>
        <w:tblW w:w="9639" w:type="dxa"/>
        <w:jc w:val="center"/>
        <w:tblInd w:w="15" w:type="dxa"/>
        <w:tblBorders>
          <w:top w:val="single" w:sz="18" w:space="0" w:shadow="0" w:frame="0"/>
          <w:left w:val="single" w:sz="4" w:space="0" w:shadow="0" w:frame="0"/>
          <w:bottom w:val="single" w:sz="18" w:space="0" w:shadow="0" w:frame="0"/>
          <w:right w:val="single" w:sz="4" w:space="0" w:shadow="0" w:frame="0"/>
          <w:insideH w:val="none" w:sz="0" w:space="0" w:shadow="0" w:frame="0"/>
          <w:insideV w:val="none" w:sz="0" w:space="0" w:shadow="0" w:fram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wAfter w:w="0" w:type="dxa"/>
          <w:trHeight w:hRule="exact" w:val="113"/>
        </w:trPr>
        <w:tc>
          <w:tcPr>
            <w:tcW w:w="7064" w:type="dxa"/>
            <w:vMerge w:val="restart"/>
            <w:tcBorders>
              <w:top w:val="single" w:sz="18" w:space="0" w:shadow="0" w:frame="0"/>
              <w:left w:val="none" w:sz="0" w:space="0" w:shadow="0" w:frame="0"/>
              <w:bottom w:val="none" w:sz="0" w:space="0" w:shadow="0" w:frame="0"/>
            </w:tcBorders>
            <w:vAlign w:val="center"/>
          </w:tcPr>
          <w:p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Republic of Serbia</w:t>
            </w:r>
          </w:p>
          <w:p>
            <w:r>
              <w:rPr>
                <w:rFonts w:ascii="Arial" w:hAnsi="Arial"/>
              </w:rPr>
              <w:t>Statistical Office of the Republic of Serbia</w:t>
            </w:r>
          </w:p>
        </w:tc>
        <w:tc>
          <w:tcPr>
            <w:tcW w:w="3409" w:type="dxa"/>
            <w:tcBorders>
              <w:top w:val="single" w:sz="18" w:space="0" w:shadow="0" w:frame="0"/>
              <w:bottom w:val="single" w:sz="4" w:space="0" w:shadow="0" w:frame="0"/>
              <w:right w:val="none" w:sz="0" w:space="0" w:shadow="0" w:frame="0"/>
            </w:tcBorders>
            <w:vAlign w:val="center"/>
          </w:tcPr>
          <w:p>
            <w:pPr>
              <w:pStyle w:val="P1"/>
              <w:jc w:val="center"/>
              <w:rPr>
                <w:b w:val="1"/>
              </w:rPr>
            </w:pPr>
          </w:p>
        </w:tc>
      </w:tr>
      <w:tr>
        <w:trPr>
          <w:wAfter w:w="0" w:type="dxa"/>
          <w:trHeight w:hRule="atLeast" w:val="494"/>
        </w:trPr>
        <w:tc>
          <w:tcPr>
            <w:tcW w:w="3409" w:type="nil"/>
            <w:vMerge w:val="continue"/>
            <w:tcBorders>
              <w:top w:val="none" w:sz="0" w:space="0" w:shadow="0" w:frame="0"/>
              <w:left w:val="none" w:sz="0" w:space="0" w:shadow="0" w:frame="0"/>
              <w:bottom w:val="none" w:sz="0" w:space="0" w:shadow="0" w:frame="0"/>
              <w:right w:val="none" w:sz="0" w:space="0" w:shadow="0" w:frame="0"/>
            </w:tcBorders>
          </w:tcPr>
          <w:p>
            <w:pPr>
              <w:pStyle w:val="P1"/>
              <w:ind w:left="144"/>
              <w:rPr>
                <w:b w:val="1"/>
              </w:rPr>
            </w:pPr>
          </w:p>
        </w:tc>
        <w:tc>
          <w:tcPr>
            <w:tcW w:w="34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</w:tcPr>
          <w:p>
            <w:pPr>
              <w:pStyle w:val="P2"/>
              <w:rPr>
                <w:sz w:val="24"/>
              </w:rPr>
            </w:pPr>
            <w:r>
              <w:rPr>
                <w:sz w:val="24"/>
              </w:rPr>
              <w:t>ISSN 0353-9555</w:t>
            </w:r>
          </w:p>
        </w:tc>
      </w:tr>
      <w:tr>
        <w:trPr>
          <w:wAfter w:w="0" w:type="dxa"/>
          <w:trHeight w:hRule="atLeast" w:val="113"/>
        </w:trPr>
        <w:tc>
          <w:tcPr>
            <w:tcW w:w="7064" w:type="dxa"/>
            <w:tcBorders>
              <w:top w:val="none" w:sz="0" w:space="0" w:shadow="0" w:frame="0"/>
              <w:left w:val="none" w:sz="0" w:space="0" w:shadow="0" w:frame="0"/>
              <w:bottom w:val="none" w:sz="0" w:space="0" w:shadow="0" w:frame="0"/>
              <w:right w:val="none" w:sz="0" w:space="0" w:shadow="0" w:frame="0"/>
            </w:tcBorders>
            <w:vAlign w:val="center"/>
          </w:tcPr>
          <w:p>
            <w:pPr>
              <w:pStyle w:val="P1"/>
              <w:ind w:left="144"/>
              <w:rPr>
                <w:b w:val="1"/>
                <w:sz w:val="12"/>
              </w:rPr>
            </w:pPr>
          </w:p>
        </w:tc>
        <w:tc>
          <w:tcPr>
            <w:tcW w:w="3409" w:type="dxa"/>
            <w:tcBorders>
              <w:top w:val="none" w:sz="0" w:space="0" w:shadow="0" w:frame="0"/>
              <w:left w:val="none" w:sz="0" w:space="0" w:shadow="0" w:frame="0"/>
              <w:bottom w:val="none" w:sz="0" w:space="0" w:shadow="0" w:frame="0"/>
              <w:right w:val="none" w:sz="0" w:space="0" w:shadow="0" w:frame="0"/>
            </w:tcBorders>
            <w:vAlign w:val="center"/>
          </w:tcPr>
          <w:p>
            <w:pPr>
              <w:pStyle w:val="P1"/>
              <w:jc w:val="center"/>
              <w:rPr>
                <w:b w:val="1"/>
                <w:sz w:val="12"/>
              </w:rPr>
            </w:pPr>
          </w:p>
        </w:tc>
      </w:tr>
      <w:tr>
        <w:trPr>
          <w:wAfter w:w="0" w:type="dxa"/>
          <w:trHeight w:hRule="exact" w:val="1141"/>
        </w:trPr>
        <w:tc>
          <w:tcPr>
            <w:tcW w:w="7064" w:type="dxa"/>
            <w:tcBorders>
              <w:top w:val="none" w:sz="0" w:space="0" w:shadow="0" w:frame="0"/>
              <w:left w:val="none" w:sz="0" w:space="0" w:shadow="0" w:frame="0"/>
              <w:bottom w:val="none" w:sz="0" w:space="0" w:shadow="0" w:frame="0"/>
              <w:right w:val="none" w:sz="0" w:space="0" w:shadow="0" w:frame="0"/>
            </w:tcBorders>
          </w:tcPr>
          <w:p>
            <w:pPr>
              <w:rPr>
                <w:rFonts w:ascii="Arial" w:hAnsi="Arial"/>
                <w:b w:val="1"/>
                <w:sz w:val="72"/>
              </w:rPr>
            </w:pPr>
            <w:r>
              <w:rPr>
                <w:rFonts w:ascii="Arial" w:hAnsi="Arial"/>
                <w:b w:val="1"/>
                <w:sz w:val="72"/>
              </w:rPr>
              <w:t>COMMUNICATION</w:t>
            </w:r>
          </w:p>
          <w:p>
            <w:pPr>
              <w:rPr>
                <w:b w:val="1"/>
              </w:rPr>
            </w:pPr>
            <w:r>
              <w:rPr>
                <w:rFonts w:ascii="Arial" w:hAnsi="Arial"/>
                <w:b w:val="1"/>
              </w:rPr>
              <w:t xml:space="preserve">Number </w:t>
            </w:r>
            <w:r>
              <w:rPr>
                <w:rFonts w:ascii="Arial" w:hAnsi="Arial"/>
                <w:b w:val="1"/>
              </w:rPr>
              <w:t>36</w:t>
            </w:r>
            <w:r>
              <w:rPr>
                <w:rFonts w:ascii="Arial" w:hAnsi="Arial"/>
                <w:b w:val="1"/>
              </w:rPr>
              <w:t xml:space="preserve"> • Year L</w:t>
            </w:r>
            <w:r>
              <w:rPr>
                <w:rFonts w:ascii="Arial" w:hAnsi="Arial"/>
                <w:b w:val="1"/>
              </w:rPr>
              <w:t>IX</w:t>
            </w:r>
            <w:r>
              <w:rPr>
                <w:rFonts w:ascii="Arial" w:hAnsi="Arial"/>
                <w:b w:val="1"/>
              </w:rPr>
              <w:t xml:space="preserve">, </w:t>
            </w:r>
            <w:r>
              <w:rPr>
                <w:rFonts w:ascii="Arial" w:hAnsi="Arial"/>
                <w:b w:val="1"/>
              </w:rPr>
              <w:t>18</w:t>
            </w:r>
            <w:r>
              <w:rPr>
                <w:rFonts w:ascii="Arial" w:hAnsi="Arial"/>
                <w:b w:val="1"/>
              </w:rPr>
              <w:t>/</w:t>
            </w:r>
            <w:r>
              <w:rPr>
                <w:rFonts w:ascii="Arial" w:hAnsi="Arial"/>
                <w:b w:val="1"/>
              </w:rPr>
              <w:t>02</w:t>
            </w:r>
            <w:r>
              <w:rPr>
                <w:rFonts w:ascii="Arial" w:hAnsi="Arial"/>
                <w:b w:val="1"/>
              </w:rPr>
              <w:t>/</w:t>
            </w:r>
            <w:r>
              <w:rPr>
                <w:rFonts w:ascii="Arial" w:hAnsi="Arial"/>
                <w:b w:val="1"/>
              </w:rPr>
              <w:t>200</w:t>
            </w:r>
            <w:r>
              <w:rPr>
                <w:rFonts w:ascii="Arial" w:hAnsi="Arial"/>
                <w:b w:val="1"/>
              </w:rPr>
              <w:t>9</w:t>
            </w:r>
          </w:p>
        </w:tc>
        <w:tc>
          <w:tcPr>
            <w:tcW w:w="34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</w:tcPr>
          <w:p>
            <w:pPr>
              <w:jc w:val="center"/>
              <w:rPr>
                <w:b w:val="1"/>
                <w:sz w:val="72"/>
              </w:rPr>
            </w:pPr>
            <w:r>
              <w:rPr>
                <w:rFonts w:ascii="Arial" w:hAnsi="Arial"/>
                <w:b w:val="1"/>
                <w:sz w:val="72"/>
              </w:rPr>
              <w:t>PO12</w:t>
            </w:r>
          </w:p>
        </w:tc>
      </w:tr>
      <w:tr>
        <w:trPr>
          <w:wAfter w:w="0" w:type="dxa"/>
          <w:trHeight w:hRule="exact" w:val="305"/>
        </w:trPr>
        <w:tc>
          <w:tcPr>
            <w:tcW w:w="7064" w:type="dxa"/>
            <w:vMerge w:val="restart"/>
            <w:tcBorders>
              <w:top w:val="none" w:sz="0" w:space="0" w:shadow="0" w:frame="0"/>
              <w:left w:val="none" w:sz="0" w:space="0" w:shadow="0" w:frame="0"/>
              <w:bottom w:val="none" w:sz="0" w:space="0" w:shadow="0" w:frame="0"/>
              <w:right w:val="none" w:sz="0" w:space="0" w:shadow="0" w:frame="0"/>
            </w:tcBorders>
            <w:vAlign w:val="center"/>
          </w:tcPr>
          <w:p>
            <w:pPr>
              <w:rPr>
                <w:b w:val="1"/>
              </w:rPr>
            </w:pPr>
            <w:r>
              <w:rPr>
                <w:rFonts w:ascii="Arial" w:hAnsi="Arial"/>
              </w:rPr>
              <w:t>Statistics of agriculture</w:t>
            </w:r>
          </w:p>
        </w:tc>
        <w:tc>
          <w:tcPr>
            <w:tcW w:w="34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</w:tcPr>
          <w:p>
            <w:pPr>
              <w:pStyle w:val="P1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S</w:t>
            </w:r>
            <w:r>
              <w:rPr>
                <w:b w:val="1"/>
                <w:sz w:val="20"/>
              </w:rPr>
              <w:t>E</w:t>
            </w:r>
            <w:r>
              <w:rPr>
                <w:b w:val="1"/>
                <w:sz w:val="20"/>
              </w:rPr>
              <w:t xml:space="preserve">RB </w:t>
            </w:r>
            <w:r>
              <w:rPr>
                <w:b w:val="1"/>
                <w:sz w:val="20"/>
              </w:rPr>
              <w:t>36</w:t>
            </w:r>
            <w:r>
              <w:rPr>
                <w:b w:val="1"/>
                <w:sz w:val="20"/>
              </w:rPr>
              <w:t xml:space="preserve">  PО12 </w:t>
            </w:r>
            <w:r>
              <w:rPr>
                <w:b w:val="1"/>
                <w:sz w:val="20"/>
              </w:rPr>
              <w:t>180209</w:t>
            </w:r>
          </w:p>
        </w:tc>
      </w:tr>
      <w:tr>
        <w:trPr>
          <w:wAfter w:w="0" w:type="dxa"/>
          <w:trHeight w:hRule="exact" w:val="113"/>
        </w:trPr>
        <w:tc>
          <w:tcPr>
            <w:tcW w:w="3409" w:type="nil"/>
            <w:vMerge w:val="continue"/>
            <w:tcBorders>
              <w:top w:val="none" w:sz="0" w:space="0" w:shadow="0" w:frame="0"/>
              <w:left w:val="none" w:sz="0" w:space="0" w:shadow="0" w:frame="0"/>
              <w:bottom w:val="single" w:sz="18" w:space="0" w:shadow="0" w:frame="0"/>
            </w:tcBorders>
          </w:tcPr>
          <w:p>
            <w:pPr>
              <w:pStyle w:val="P1"/>
              <w:ind w:left="144"/>
              <w:rPr>
                <w:b w:val="1"/>
              </w:rPr>
            </w:pPr>
          </w:p>
        </w:tc>
        <w:tc>
          <w:tcPr>
            <w:tcW w:w="3409" w:type="dxa"/>
            <w:tcBorders>
              <w:top w:val="single" w:sz="4" w:space="0" w:shadow="0" w:frame="0"/>
              <w:bottom w:val="single" w:sz="18" w:space="0" w:shadow="0" w:frame="0"/>
              <w:right w:val="none" w:sz="0" w:space="0" w:shadow="0" w:frame="0"/>
            </w:tcBorders>
            <w:vAlign w:val="center"/>
          </w:tcPr>
          <w:p>
            <w:pPr>
              <w:pStyle w:val="P1"/>
              <w:jc w:val="center"/>
              <w:rPr>
                <w:b w:val="1"/>
              </w:rPr>
            </w:pPr>
          </w:p>
        </w:tc>
      </w:tr>
    </w:tbl>
    <w:p>
      <w:pPr>
        <w:rPr>
          <w:rFonts w:ascii="Arial" w:hAnsi="Arial"/>
          <w:b w:val="1"/>
        </w:rPr>
      </w:pPr>
    </w:p>
    <w:p>
      <w:pPr>
        <w:rPr>
          <w:rFonts w:ascii="Arial" w:hAnsi="Arial"/>
          <w:b w:val="1"/>
        </w:rPr>
      </w:pPr>
    </w:p>
    <w:p>
      <w:pPr>
        <w:rPr>
          <w:rFonts w:ascii="Arial" w:hAnsi="Arial"/>
          <w:b w:val="1"/>
        </w:rPr>
      </w:pPr>
    </w:p>
    <w:p>
      <w:pPr>
        <w:rPr>
          <w:rFonts w:ascii="Arial" w:hAnsi="Arial"/>
          <w:b w:val="1"/>
        </w:rPr>
      </w:pPr>
    </w:p>
    <w:p>
      <w:pPr>
        <w:rPr>
          <w:rFonts w:ascii="Arial" w:hAnsi="Arial"/>
          <w:b w:val="1"/>
        </w:rPr>
      </w:pPr>
    </w:p>
    <w:p>
      <w:pPr>
        <w:pStyle w:val="P2"/>
        <w:rPr>
          <w:sz w:val="28"/>
        </w:rPr>
      </w:pPr>
      <w:r>
        <w:rPr>
          <w:sz w:val="28"/>
        </w:rPr>
        <w:t>Number of livestock and poultry</w:t>
      </w:r>
    </w:p>
    <w:p>
      <w:pPr>
        <w:jc w:val="center"/>
        <w:rPr>
          <w:rFonts w:ascii="Arial" w:hAnsi="Arial"/>
          <w:b w:val="1"/>
        </w:rPr>
      </w:pPr>
      <w:r>
        <w:rPr>
          <w:rFonts w:ascii="Arial" w:hAnsi="Arial"/>
          <w:b w:val="1"/>
        </w:rPr>
        <w:t>As of 01.12.200</w:t>
      </w:r>
      <w:r>
        <w:rPr>
          <w:rFonts w:ascii="Arial" w:hAnsi="Arial"/>
          <w:b w:val="1"/>
        </w:rPr>
        <w:t>8</w:t>
      </w:r>
    </w:p>
    <w:p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-  </w:t>
      </w:r>
      <w:r>
        <w:rPr>
          <w:rFonts w:ascii="Arial" w:hAnsi="Arial"/>
          <w:sz w:val="20"/>
        </w:rPr>
        <w:t>Preliminary results</w:t>
      </w:r>
      <w:r>
        <w:rPr>
          <w:rFonts w:ascii="Arial" w:hAnsi="Arial"/>
        </w:rPr>
        <w:t xml:space="preserve"> -</w:t>
      </w:r>
    </w:p>
    <w:p>
      <w:pPr>
        <w:jc w:val="center"/>
        <w:rPr>
          <w:rFonts w:ascii="Arial" w:hAnsi="Arial"/>
        </w:rPr>
      </w:pPr>
    </w:p>
    <w:tbl>
      <w:tblPr>
        <w:tblStyle w:val="T2"/>
        <w:tblW w:w="0" w:type="auto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/>
      <w:tr>
        <w:trPr>
          <w:wAfter w:w="0" w:type="dxa"/>
        </w:trPr>
        <w:tc>
          <w:tcPr>
            <w:tcW w:w="1849" w:type="dxa"/>
            <w:vMerge w:val="restart"/>
            <w:tcBorders>
              <w:top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17" w:type="dxa"/>
            <w:vMerge w:val="restart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Horses</w:t>
            </w:r>
          </w:p>
        </w:tc>
        <w:tc>
          <w:tcPr>
            <w:tcW w:w="1715" w:type="dxa"/>
            <w:gridSpan w:val="2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Cattle</w:t>
            </w:r>
          </w:p>
        </w:tc>
        <w:tc>
          <w:tcPr>
            <w:tcW w:w="1845" w:type="dxa"/>
            <w:gridSpan w:val="2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Pigs</w:t>
            </w:r>
          </w:p>
        </w:tc>
        <w:tc>
          <w:tcPr>
            <w:tcW w:w="1748" w:type="dxa"/>
            <w:gridSpan w:val="2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Sheep</w:t>
            </w:r>
          </w:p>
        </w:tc>
        <w:tc>
          <w:tcPr>
            <w:tcW w:w="939" w:type="dxa"/>
            <w:vMerge w:val="restart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Poultry</w:t>
            </w:r>
          </w:p>
        </w:tc>
        <w:tc>
          <w:tcPr>
            <w:tcW w:w="842" w:type="dxa"/>
            <w:vMerge w:val="restart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Goats</w:t>
            </w:r>
          </w:p>
        </w:tc>
      </w:tr>
      <w:tr>
        <w:trPr>
          <w:wAfter w:w="0" w:type="dxa"/>
        </w:trPr>
        <w:tc>
          <w:tcPr>
            <w:tcW w:w="1849" w:type="dxa"/>
            <w:vMerge w:val="continue"/>
            <w:tcBorders>
              <w:top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17" w:type="dxa"/>
            <w:vMerge w:val="continue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73" w:type="dxa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Total</w:t>
            </w:r>
          </w:p>
        </w:tc>
        <w:tc>
          <w:tcPr>
            <w:tcW w:w="842" w:type="dxa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Cows and heifers in calf</w:t>
            </w:r>
          </w:p>
        </w:tc>
        <w:tc>
          <w:tcPr>
            <w:tcW w:w="873" w:type="dxa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Total</w:t>
            </w:r>
          </w:p>
        </w:tc>
        <w:tc>
          <w:tcPr>
            <w:tcW w:w="972" w:type="dxa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Sows and sows of first farrow</w:t>
            </w:r>
          </w:p>
        </w:tc>
        <w:tc>
          <w:tcPr>
            <w:tcW w:w="873" w:type="dxa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Total</w:t>
            </w:r>
          </w:p>
        </w:tc>
        <w:tc>
          <w:tcPr>
            <w:tcW w:w="875" w:type="dxa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Ewes for breeding</w:t>
            </w:r>
          </w:p>
        </w:tc>
        <w:tc>
          <w:tcPr>
            <w:tcW w:w="939" w:type="dxa"/>
            <w:vMerge w:val="continue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  <w:right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42" w:type="dxa"/>
            <w:vMerge w:val="continue"/>
            <w:tcBorders>
              <w:top w:val="single" w:sz="8" w:space="0" w:shadow="0" w:frame="0"/>
              <w:left w:val="single" w:sz="8" w:space="0" w:shadow="0" w:frame="0"/>
              <w:bottom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</w:tr>
      <w:tr>
        <w:trPr>
          <w:wAfter w:w="0" w:type="dxa"/>
        </w:trPr>
        <w:tc>
          <w:tcPr>
            <w:tcW w:w="1849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17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73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42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73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72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73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75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39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42" w:type="dxa"/>
            <w:tcBorders>
              <w:top w:val="single" w:sz="8" w:space="0" w:shadow="0" w:frame="0"/>
            </w:tcBorders>
            <w:vAlign w:val="center"/>
          </w:tcPr>
          <w:p>
            <w:pPr>
              <w:jc w:val="center"/>
              <w:rPr>
                <w:rFonts w:ascii="Arial" w:hAnsi="Arial"/>
                <w:sz w:val="16"/>
              </w:rPr>
            </w:pPr>
          </w:p>
        </w:tc>
      </w:tr>
      <w:tr>
        <w:trPr>
          <w:wAfter w:w="0" w:type="dxa"/>
        </w:trPr>
        <w:tc>
          <w:tcPr>
            <w:tcW w:w="9755" w:type="dxa"/>
            <w:gridSpan w:val="10"/>
            <w:vAlign w:val="bottom"/>
          </w:tcPr>
          <w:p>
            <w:pPr>
              <w:pStyle w:val="P4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  <w:tr>
        <w:trPr>
          <w:wAfter w:w="0" w:type="dxa"/>
        </w:trPr>
        <w:tc>
          <w:tcPr>
            <w:tcW w:w="1849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817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873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842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873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972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873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875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939" w:type="dxa"/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842" w:type="dxa"/>
          </w:tcPr>
          <w:p>
            <w:pPr>
              <w:rPr>
                <w:rFonts w:ascii="Arial" w:hAnsi="Arial"/>
                <w:sz w:val="16"/>
              </w:rPr>
            </w:pP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pStyle w:val="P3"/>
              <w:spacing w:before="40" w:after="40"/>
              <w:jc w:val="left"/>
              <w:rPr>
                <w:sz w:val="16"/>
              </w:rPr>
            </w:pPr>
            <w:r>
              <w:rPr>
                <w:sz w:val="16"/>
              </w:rPr>
              <w:t>REPUBLIC OF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16830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1057435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624199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3594236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502255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1605277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1197788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17188445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154575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Central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10965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794426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514061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2229802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347168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1351647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1025776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9824470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106097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Vojvodina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5865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263009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110138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1364434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155087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253630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172012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7363975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48478</w:t>
            </w:r>
          </w:p>
        </w:tc>
      </w:tr>
      <w:tr>
        <w:trPr>
          <w:wAfter w:w="0" w:type="dxa"/>
          <w:trHeight w:hRule="atLeast" w:val="360"/>
        </w:trPr>
        <w:tc>
          <w:tcPr>
            <w:tcW w:w="9755" w:type="dxa"/>
            <w:gridSpan w:val="10"/>
            <w:vAlign w:val="bottom"/>
          </w:tcPr>
          <w:p>
            <w:pPr>
              <w:pStyle w:val="P5"/>
            </w:pPr>
            <w:r>
              <w:t>Agricultural enterprises and cooperatives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pStyle w:val="P3"/>
              <w:spacing w:before="40" w:after="40"/>
              <w:jc w:val="left"/>
              <w:rPr>
                <w:sz w:val="16"/>
              </w:rPr>
            </w:pPr>
            <w:r>
              <w:rPr>
                <w:sz w:val="16"/>
              </w:rPr>
              <w:t>REPUBLIC OF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252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66809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25981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600592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62213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19679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11985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1552202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286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Central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37845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12848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120774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13295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9612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5852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226970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Vojvodina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243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28964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13133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479818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48918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10067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6133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1325232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245</w:t>
            </w:r>
          </w:p>
        </w:tc>
      </w:tr>
      <w:tr>
        <w:trPr>
          <w:wAfter w:w="0" w:type="dxa"/>
          <w:trHeight w:hRule="atLeast" w:val="373"/>
        </w:trPr>
        <w:tc>
          <w:tcPr>
            <w:tcW w:w="9755" w:type="dxa"/>
            <w:gridSpan w:val="10"/>
            <w:vAlign w:val="bottom"/>
          </w:tcPr>
          <w:p>
            <w:pPr>
              <w:pStyle w:val="P5"/>
            </w:pPr>
            <w:r>
              <w:t>Private holdings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pStyle w:val="P3"/>
              <w:spacing w:before="40" w:after="40"/>
              <w:jc w:val="left"/>
              <w:rPr>
                <w:sz w:val="16"/>
              </w:rPr>
            </w:pPr>
            <w:r>
              <w:rPr>
                <w:sz w:val="16"/>
              </w:rPr>
              <w:t>REPUBLIC OF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16578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990626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598218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2993644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440042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1585598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1185803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15636243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154289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Central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10956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756581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501213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2109028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333873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1342035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1019924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9597500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106056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Vojvodina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5622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234045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97005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884616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106169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243563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165879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6038743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48233</w:t>
            </w:r>
          </w:p>
        </w:tc>
      </w:tr>
      <w:tr>
        <w:trPr>
          <w:wAfter w:w="0" w:type="dxa"/>
          <w:trHeight w:hRule="atLeast" w:val="385"/>
        </w:trPr>
        <w:tc>
          <w:tcPr>
            <w:tcW w:w="9755" w:type="dxa"/>
            <w:gridSpan w:val="10"/>
            <w:vAlign w:val="center"/>
          </w:tcPr>
          <w:p>
            <w:pPr>
              <w:pStyle w:val="P4"/>
              <w:spacing w:before="80" w:after="80"/>
              <w:rPr>
                <w:sz w:val="16"/>
              </w:rPr>
            </w:pPr>
            <w:r>
              <w:rPr>
                <w:sz w:val="16"/>
              </w:rPr>
              <w:t>INDICES, 2007=100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pStyle w:val="P3"/>
              <w:spacing w:before="40" w:after="40"/>
              <w:jc w:val="left"/>
              <w:rPr>
                <w:sz w:val="16"/>
              </w:rPr>
            </w:pPr>
            <w:r>
              <w:rPr>
                <w:sz w:val="16"/>
              </w:rPr>
              <w:t>REPUBLIC OF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91,0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97,3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96,3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93,8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91,3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99,9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100,5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104,7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103,4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Central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97,5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97,1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95,6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97,2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90,4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98,3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98,9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98,3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104,7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Vojvodina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80,9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97,9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100,0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88,7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93,4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109,7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111,0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114,6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100,9</w:t>
            </w:r>
          </w:p>
        </w:tc>
      </w:tr>
      <w:tr>
        <w:trPr>
          <w:wAfter w:w="0" w:type="dxa"/>
          <w:trHeight w:hRule="atLeast" w:val="383"/>
        </w:trPr>
        <w:tc>
          <w:tcPr>
            <w:tcW w:w="9755" w:type="dxa"/>
            <w:gridSpan w:val="10"/>
          </w:tcPr>
          <w:p>
            <w:pPr>
              <w:pStyle w:val="P5"/>
            </w:pPr>
            <w:r>
              <w:t>Agricultural enterprises and cooperatives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pStyle w:val="P3"/>
              <w:spacing w:before="40" w:after="40"/>
              <w:jc w:val="left"/>
              <w:rPr>
                <w:sz w:val="16"/>
              </w:rPr>
            </w:pPr>
            <w:r>
              <w:rPr>
                <w:sz w:val="16"/>
              </w:rPr>
              <w:t>REPUBLIC OF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86,9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95,0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102,8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91,2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94,1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95,3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94,5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103,2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72,6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Central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225,0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91,7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109,5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74,8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91,2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107,9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110,0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51,1</w:t>
            </w:r>
          </w:p>
        </w:tc>
        <w:tc>
          <w:tcPr>
            <w:tcW w:w="842" w:type="dxa"/>
            <w:vAlign w:val="bottom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14,6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Vojvodina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85,0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99,7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97,0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96,6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94,9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85,7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83,2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125,0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214,9</w:t>
            </w:r>
          </w:p>
        </w:tc>
      </w:tr>
      <w:tr>
        <w:trPr>
          <w:wAfter w:w="0" w:type="dxa"/>
          <w:trHeight w:hRule="atLeast" w:val="380"/>
        </w:trPr>
        <w:tc>
          <w:tcPr>
            <w:tcW w:w="9755" w:type="dxa"/>
            <w:gridSpan w:val="10"/>
          </w:tcPr>
          <w:p>
            <w:pPr>
              <w:pStyle w:val="P5"/>
            </w:pPr>
            <w:r>
              <w:t>Private holdings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pStyle w:val="P3"/>
              <w:spacing w:before="40" w:after="40"/>
              <w:jc w:val="left"/>
              <w:rPr>
                <w:sz w:val="16"/>
              </w:rPr>
            </w:pPr>
            <w:r>
              <w:rPr>
                <w:sz w:val="16"/>
              </w:rPr>
              <w:t>REPUBLIC OF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91,1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97,4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96,1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94,3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90,9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100,0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100,6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104,8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103,5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Central Serbia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97,4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97,3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95,2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98,9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90,4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98,2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98,9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100,5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104,9</w:t>
            </w:r>
          </w:p>
        </w:tc>
      </w:tr>
      <w:tr>
        <w:trPr>
          <w:wAfter w:w="0" w:type="dxa"/>
        </w:trPr>
        <w:tc>
          <w:tcPr>
            <w:tcW w:w="1849" w:type="dxa"/>
            <w:tcBorders>
              <w:right w:val="single" w:sz="8" w:space="0" w:shadow="0" w:frame="0"/>
            </w:tcBorders>
          </w:tcPr>
          <w:p>
            <w:pPr>
              <w:spacing w:before="40" w:after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Vojvodina</w:t>
            </w:r>
          </w:p>
        </w:tc>
        <w:tc>
          <w:tcPr>
            <w:tcW w:w="817" w:type="dxa"/>
            <w:tcBorders>
              <w:left w:val="single" w:sz="8" w:space="0" w:shadow="0" w:frame="0"/>
            </w:tcBorders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80,8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97,7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100,4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85,0</w:t>
            </w:r>
          </w:p>
        </w:tc>
        <w:tc>
          <w:tcPr>
            <w:tcW w:w="97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92,7</w:t>
            </w:r>
          </w:p>
        </w:tc>
        <w:tc>
          <w:tcPr>
            <w:tcW w:w="873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110,9</w:t>
            </w:r>
          </w:p>
        </w:tc>
        <w:tc>
          <w:tcPr>
            <w:tcW w:w="875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112,4</w:t>
            </w:r>
          </w:p>
        </w:tc>
        <w:tc>
          <w:tcPr>
            <w:tcW w:w="939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112,5</w:t>
            </w:r>
          </w:p>
        </w:tc>
        <w:tc>
          <w:tcPr>
            <w:tcW w:w="842" w:type="dxa"/>
          </w:tcPr>
          <w:p>
            <w:pPr>
              <w:spacing w:before="40" w:after="40"/>
              <w:ind w:right="113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100,6</w:t>
            </w:r>
          </w:p>
        </w:tc>
      </w:tr>
    </w:tbl>
    <w:p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.</w:t>
      </w:r>
    </w:p>
    <w:p>
      <w:pPr>
        <w:pStyle w:val="P7"/>
        <w:ind w:firstLine="664" w:left="56"/>
        <w:rPr>
          <w:sz w:val="14"/>
        </w:rPr>
      </w:pPr>
      <w:r>
        <w:rPr>
          <w:sz w:val="14"/>
        </w:rPr>
        <w:br w:type="page"/>
      </w:r>
    </w:p>
    <w:p>
      <w:pPr>
        <w:pStyle w:val="P7"/>
        <w:ind w:firstLine="664" w:left="56"/>
        <w:rPr>
          <w:sz w:val="14"/>
        </w:rPr>
      </w:pPr>
    </w:p>
    <w:p>
      <w:pPr>
        <w:pStyle w:val="P9"/>
        <w:rPr>
          <w:sz w:val="22"/>
        </w:rPr>
      </w:pPr>
      <w:r>
        <w:rPr>
          <w:sz w:val="22"/>
        </w:rPr>
        <w:t>Livestock number in the Republic of Serbia, 1999- 2008</w:t>
      </w:r>
    </w:p>
    <w:p>
      <w:pPr>
        <w:pStyle w:val="P9"/>
        <w:rPr>
          <w:sz w:val="20"/>
        </w:rPr>
      </w:pPr>
    </w:p>
    <w:p>
      <w:pPr>
        <w:pStyle w:val="P9"/>
        <w:rPr>
          <w:sz w:val="20"/>
        </w:rPr>
      </w:pPr>
    </w:p>
    <w:p>
      <w:pPr>
        <w:pStyle w:val="P9"/>
        <w:rPr>
          <w:sz w:val="20"/>
        </w:rPr>
      </w:pPr>
    </w:p>
    <w:p>
      <w:pPr>
        <w:pStyle w:val="P9"/>
        <w:rPr>
          <w:sz w:val="20"/>
        </w:rPr>
      </w:pPr>
    </w:p>
    <w:p>
      <w:pPr>
        <w:pStyle w:val="P9"/>
        <w:tabs>
          <w:tab w:val="left" w:pos="9180" w:leader="none"/>
        </w:tabs>
        <w:ind w:left="180" w:right="461"/>
        <w:rPr>
          <w:sz w:val="20"/>
        </w:rPr>
      </w:pPr>
    </w:p>
    <w:p>
      <w:pPr>
        <w:rPr>
          <w:rFonts w:ascii="Arial" w:hAnsi="Arial"/>
        </w:rPr>
      </w:pPr>
    </w:p>
    <w:p>
      <w:pPr>
        <w:ind w:firstLine="720"/>
        <w:rPr>
          <w:rFonts w:ascii="Arial" w:hAnsi="Arial"/>
          <w:b w:val="1"/>
          <w:sz w:val="20"/>
        </w:rPr>
      </w:pPr>
      <w:r>
        <w:rPr>
          <w:rFonts w:ascii="Arial" w:hAnsi="Arial"/>
          <w:b w:val="1"/>
          <w:sz w:val="20"/>
        </w:rPr>
        <w:t>NOTES:</w:t>
      </w:r>
    </w:p>
    <w:p>
      <w:pPr>
        <w:jc w:val="center"/>
        <w:rPr>
          <w:rFonts w:ascii="Arial" w:hAnsi="Arial"/>
          <w:sz w:val="20"/>
        </w:rPr>
      </w:pPr>
    </w:p>
    <w:p>
      <w:pPr>
        <w:pStyle w:val="P6"/>
        <w:spacing w:before="120" w:after="120"/>
        <w:ind w:firstLine="720" w:left="0"/>
      </w:pPr>
      <w:r>
        <w:t xml:space="preserve">The presented data are preliminary results on the number of livestock and poultry and on the number of breeding heads, by types. </w:t>
      </w:r>
    </w:p>
    <w:p>
      <w:pPr>
        <w:pStyle w:val="P6"/>
        <w:spacing w:before="120" w:after="120"/>
        <w:ind w:firstLine="720" w:left="0"/>
        <w:rPr>
          <w:b w:val="1"/>
        </w:rPr>
      </w:pPr>
      <w:r>
        <w:t xml:space="preserve">Data on the number of livestock and poultry, referring to agricultural enterprises and cooperatives are collected by regular annual reports. </w:t>
      </w:r>
    </w:p>
    <w:p>
      <w:pPr>
        <w:spacing w:before="120" w:after="120"/>
        <w:ind w:firstLine="720"/>
        <w:jc w:val="both"/>
        <w:rPr>
          <w:rFonts w:ascii="Arial" w:hAnsi="Arial"/>
          <w:b w:val="1"/>
          <w:sz w:val="20"/>
        </w:rPr>
      </w:pPr>
      <w:r>
        <w:rPr>
          <w:rFonts w:ascii="Arial" w:hAnsi="Arial"/>
          <w:sz w:val="20"/>
        </w:rPr>
        <w:t xml:space="preserve">Data on the number of livestock and poultry, related to private agricultural holdings and households are obtained by annual Livestock Number Survey (two - stage stratified sample), covering about 1 % of private households.   </w:t>
      </w:r>
    </w:p>
    <w:p>
      <w:pPr>
        <w:spacing w:before="120" w:after="120"/>
        <w:ind w:firstLine="7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The data as of December 1</w:t>
      </w:r>
      <w:r>
        <w:rPr>
          <w:rFonts w:ascii="Arial" w:hAnsi="Arial"/>
          <w:sz w:val="20"/>
          <w:vertAlign w:val="superscript"/>
        </w:rPr>
        <w:t>st</w:t>
      </w:r>
      <w:r>
        <w:rPr>
          <w:rFonts w:ascii="Arial" w:hAnsi="Arial"/>
          <w:sz w:val="20"/>
        </w:rPr>
        <w:t xml:space="preserve"> 2008 in the Republic of Serbia, when compared to the previous data, show that number of cattle decreased by 2.7 %, number of cows and heifers in calf by 3.7%, of pigs by 6.2%, of sows and sows of first farrow by 8.7 %, of sheep by 0.1%, while number of breeding ewes increased by 0.5%, of poultry by 4.7 % and number of goats by 3.4%. </w:t>
      </w:r>
    </w:p>
    <w:p>
      <w:pPr>
        <w:spacing w:before="120" w:after="120"/>
        <w:ind w:firstLine="720"/>
        <w:jc w:val="both"/>
        <w:rPr>
          <w:rFonts w:ascii="Arial" w:hAnsi="Arial"/>
          <w:b w:val="1"/>
          <w:sz w:val="20"/>
        </w:rPr>
      </w:pPr>
      <w:r>
        <w:rPr>
          <w:rFonts w:ascii="Arial" w:hAnsi="Arial"/>
          <w:sz w:val="20"/>
        </w:rPr>
        <w:t xml:space="preserve">Data related to the Republic of Serbia do not include data on Kosovo and Metohia. </w:t>
      </w:r>
    </w:p>
    <w:p>
      <w:pPr>
        <w:pStyle w:val="P6"/>
        <w:spacing w:before="120" w:after="120"/>
        <w:ind w:firstLine="720" w:left="0"/>
        <w:rPr>
          <w:b w:val="1"/>
        </w:rPr>
      </w:pPr>
      <w:r>
        <w:t xml:space="preserve">Final data on livestock number, by types and categories, as well as data on livestock balance, increase and livestock production will be published in April of the current year. </w:t>
      </w: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both"/>
        <w:rPr>
          <w:rFonts w:ascii="Arial" w:hAnsi="Arial"/>
          <w:b w:val="1"/>
          <w:sz w:val="20"/>
        </w:rPr>
      </w:pPr>
    </w:p>
    <w:p>
      <w:pPr>
        <w:jc w:val="center"/>
        <w:rPr>
          <w:rFonts w:ascii="Arial" w:hAnsi="Arial"/>
          <w:b w:val="1"/>
          <w:sz w:val="6"/>
        </w:rPr>
      </w:pPr>
    </w:p>
    <w:p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Published and printed by: Statistical Office of the Republic of Serbia, Milana Rakica 5, Belgrade</w:t>
      </w:r>
    </w:p>
    <w:p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Phone: +381 11 2412-922 ● Fax: +381 11 411-260 ● www.stat.gov.rs </w:t>
      </w:r>
    </w:p>
    <w:p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Responsible: Dragan Vukmirovic, PhD, Director</w:t>
      </w:r>
    </w:p>
    <w:p>
      <w:pPr>
        <w:jc w:val="center"/>
      </w:pPr>
      <w:r>
        <w:rPr>
          <w:rFonts w:ascii="Arial" w:hAnsi="Arial"/>
          <w:sz w:val="20"/>
        </w:rPr>
        <w:t>Circulation: 30 • Issued annually</w:t>
      </w:r>
    </w:p>
    <w:p/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footnotePr>
        <w:pos w:val="beneathText"/>
      </w:footnotePr>
      <w:type w:val="nextPage"/>
      <w:pgSz w:w="11909" w:h="16834" w:code="0"/>
      <w:pgMar w:left="1134" w:right="1134" w:top="1134" w:bottom="1134" w:header="720" w:footer="720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8"/>
      <w:pBdr>
        <w:top w:val="single" w:sz="4" w:space="0" w:shadow="0" w:frame="0"/>
      </w:pBdr>
      <w:tabs>
        <w:tab w:val="clear" w:pos="8640" w:leader="none"/>
        <w:tab w:val="right" w:pos="9720" w:leader="none"/>
        <w:tab w:val="right" w:pos="10206" w:leader="none"/>
      </w:tabs>
      <w:rPr>
        <w:rFonts w:ascii="Arial" w:hAnsi="Arial"/>
        <w:sz w:val="16"/>
      </w:rPr>
    </w:pPr>
    <w:r>
      <w:rPr>
        <w:rStyle w:val="C3"/>
        <w:rFonts w:ascii="Arial" w:hAnsi="Arial"/>
        <w:sz w:val="16"/>
      </w:rPr>
      <w:t>SERB 036 PO12</w:t>
    </w:r>
    <w:r>
      <w:rPr>
        <w:rFonts w:ascii="Arial" w:hAnsi="Arial"/>
        <w:sz w:val="16"/>
      </w:rPr>
      <w:t xml:space="preserve">  180209</w:t>
    </w:r>
    <w:r>
      <w:rPr>
        <w:rStyle w:val="C3"/>
        <w:rFonts w:ascii="Arial" w:hAnsi="Arial"/>
        <w:sz w:val="16"/>
      </w:rPr>
      <w:tab/>
      <w:t xml:space="preserve">   </w:t>
      <w:tab/>
    </w:r>
    <w:r>
      <w:rPr>
        <w:rStyle w:val="C3"/>
        <w:rFonts w:ascii="Arial" w:hAnsi="Arial"/>
        <w:sz w:val="16"/>
      </w:rPr>
      <w:fldChar w:fldCharType="begin"/>
    </w:r>
    <w:r>
      <w:rPr>
        <w:rStyle w:val="C3"/>
        <w:rFonts w:ascii="Arial" w:hAnsi="Arial"/>
        <w:sz w:val="16"/>
      </w:rPr>
      <w:instrText xml:space="preserve"> PAGE </w:instrText>
    </w:r>
    <w:r>
      <w:rPr>
        <w:rStyle w:val="C3"/>
        <w:rFonts w:ascii="Arial" w:hAnsi="Arial"/>
        <w:sz w:val="16"/>
      </w:rPr>
      <w:fldChar w:fldCharType="separate"/>
    </w:r>
    <w:r>
      <w:rPr>
        <w:rStyle w:val="C3"/>
        <w:rFonts w:ascii="Arial" w:hAnsi="Arial"/>
        <w:sz w:val="16"/>
      </w:rPr>
      <w:t>#</w:t>
    </w:r>
    <w:r>
      <w:rPr>
        <w:rStyle w:val="C3"/>
        <w:rFonts w:ascii="Arial" w:hAnsi="Arial"/>
        <w:sz w:val="16"/>
      </w:rPr>
      <w:fldChar w:fldCharType="end"/>
    </w: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8"/>
      <w:pBdr>
        <w:top w:val="single" w:sz="4" w:space="0" w:shadow="0" w:frame="0"/>
      </w:pBdr>
      <w:tabs>
        <w:tab w:val="clear" w:pos="8640" w:leader="none"/>
        <w:tab w:val="right" w:pos="9720" w:leader="none"/>
        <w:tab w:val="right" w:pos="10206" w:leader="none"/>
      </w:tabs>
      <w:jc w:val="right"/>
    </w:pPr>
    <w:r>
      <w:fldChar w:fldCharType="begin"/>
    </w:r>
    <w:r>
      <w:rPr>
        <w:rStyle w:val="C3"/>
        <w:rFonts w:ascii="Arial" w:hAnsi="Arial"/>
        <w:sz w:val="16"/>
      </w:rPr>
      <w:instrText xml:space="preserve"> PAGE </w:instrText>
    </w:r>
    <w:r>
      <w:rPr>
        <w:rStyle w:val="C3"/>
        <w:rFonts w:ascii="Arial" w:hAnsi="Arial"/>
        <w:sz w:val="16"/>
      </w:rPr>
      <w:fldChar w:fldCharType="separate"/>
    </w:r>
    <w:r>
      <w:rPr>
        <w:rStyle w:val="C3"/>
        <w:rFonts w:ascii="Arial" w:hAnsi="Arial"/>
        <w:sz w:val="16"/>
      </w:rPr>
      <w:t>#</w:t>
    </w:r>
    <w:r>
      <w:rPr>
        <w:rStyle w:val="C3"/>
        <w:rFonts w:ascii="Arial" w:hAnsi="Arial"/>
        <w:sz w:val="16"/>
      </w:rPr>
      <w:fldChar w:fldCharType="end"/>
    </w:r>
    <w:r>
      <w:rPr>
        <w:rStyle w:val="C3"/>
        <w:rFonts w:ascii="Arial" w:hAnsi="Arial"/>
        <w:sz w:val="16"/>
      </w:rPr>
      <w:tab/>
      <w:t xml:space="preserve">   </w:t>
      <w:tab/>
      <w:t>SERB 036 PO12 180209</w:t>
    </w:r>
  </w:p>
</w:ft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1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pPr/>
    <w:rPr>
      <w:sz w:val="24"/>
    </w:rPr>
  </w:style>
  <w:style w:type="paragraph" w:styleId="P1">
    <w:name w:val="FR3"/>
    <w:next w:val="P1"/>
    <w:pPr>
      <w:widowControl w:val="0"/>
      <w:jc w:val="both"/>
    </w:pPr>
    <w:rPr>
      <w:rFonts w:ascii="Arial" w:hAnsi="Arial"/>
      <w:sz w:val="28"/>
    </w:rPr>
  </w:style>
  <w:style w:type="paragraph" w:styleId="P2">
    <w:name w:val="Heading 5"/>
    <w:basedOn w:val="P0"/>
    <w:next w:val="P0"/>
    <w:pPr>
      <w:keepNext w:val="1"/>
      <w:jc w:val="center"/>
      <w:outlineLvl w:val="4"/>
    </w:pPr>
    <w:rPr>
      <w:rFonts w:ascii="Arial" w:hAnsi="Arial"/>
      <w:b w:val="1"/>
      <w:sz w:val="20"/>
    </w:rPr>
  </w:style>
  <w:style w:type="paragraph" w:styleId="P3">
    <w:name w:val="Heading 6"/>
    <w:basedOn w:val="P0"/>
    <w:next w:val="P0"/>
    <w:pPr>
      <w:keepNext w:val="1"/>
      <w:jc w:val="center"/>
      <w:outlineLvl w:val="5"/>
    </w:pPr>
    <w:rPr>
      <w:rFonts w:ascii="Arial" w:hAnsi="Arial"/>
      <w:b w:val="1"/>
    </w:rPr>
  </w:style>
  <w:style w:type="paragraph" w:styleId="P4">
    <w:name w:val="Heading 7"/>
    <w:basedOn w:val="P0"/>
    <w:next w:val="P0"/>
    <w:pPr>
      <w:keepNext w:val="1"/>
      <w:jc w:val="center"/>
      <w:outlineLvl w:val="6"/>
    </w:pPr>
    <w:rPr>
      <w:rFonts w:ascii="Arial" w:hAnsi="Arial"/>
      <w:b w:val="1"/>
      <w:sz w:val="72"/>
    </w:rPr>
  </w:style>
  <w:style w:type="paragraph" w:styleId="P5">
    <w:name w:val="Heading 8"/>
    <w:basedOn w:val="P0"/>
    <w:next w:val="P0"/>
    <w:pPr>
      <w:keepNext w:val="1"/>
      <w:spacing w:before="80" w:after="80"/>
      <w:jc w:val="center"/>
      <w:outlineLvl w:val="7"/>
    </w:pPr>
    <w:rPr>
      <w:rFonts w:ascii="Arial" w:hAnsi="Arial"/>
      <w:b w:val="1"/>
      <w:sz w:val="16"/>
    </w:rPr>
  </w:style>
  <w:style w:type="paragraph" w:styleId="P6">
    <w:name w:val="Body Text Indent"/>
    <w:basedOn w:val="P0"/>
    <w:next w:val="P6"/>
    <w:pPr>
      <w:ind w:firstLine="360" w:left="360"/>
      <w:jc w:val="both"/>
    </w:pPr>
    <w:rPr>
      <w:rFonts w:ascii="Arial" w:hAnsi="Arial"/>
      <w:sz w:val="20"/>
    </w:rPr>
  </w:style>
  <w:style w:type="paragraph" w:styleId="P7">
    <w:name w:val="Body Text Indent 2"/>
    <w:basedOn w:val="P0"/>
    <w:next w:val="P7"/>
    <w:pPr>
      <w:ind w:firstLine="360" w:left="360"/>
      <w:jc w:val="both"/>
    </w:pPr>
    <w:rPr>
      <w:rFonts w:ascii="Arial" w:hAnsi="Arial"/>
      <w:sz w:val="22"/>
    </w:rPr>
  </w:style>
  <w:style w:type="paragraph" w:styleId="P8">
    <w:name w:val="Footer"/>
    <w:basedOn w:val="P0"/>
    <w:next w:val="P8"/>
    <w:pPr>
      <w:tabs>
        <w:tab w:val="center" w:pos="4320" w:leader="none"/>
        <w:tab w:val="right" w:pos="8640" w:leader="none"/>
      </w:tabs>
    </w:pPr>
    <w:rPr/>
  </w:style>
  <w:style w:type="paragraph" w:styleId="P9">
    <w:name w:val="Title"/>
    <w:basedOn w:val="P0"/>
    <w:next w:val="P9"/>
    <w:pPr>
      <w:jc w:val="center"/>
    </w:pPr>
    <w:rPr>
      <w:rFonts w:ascii="Arial" w:hAnsi="Arial"/>
      <w:b w:val="1"/>
    </w:rPr>
  </w:style>
  <w:style w:type="paragraph" w:styleId="P10">
    <w:name w:val="Header"/>
    <w:basedOn w:val="P0"/>
    <w:next w:val="P10"/>
    <w:pPr>
      <w:tabs>
        <w:tab w:val="center" w:pos="4320" w:leader="none"/>
        <w:tab w:val="right" w:pos="8640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Page Number"/>
    <w:basedOn w:val="C0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 </dc:creator>
  <dcterms:created xsi:type="dcterms:W3CDTF">2009-02-18T12:34:00Z</dcterms:created>
  <cp:lastModifiedBy>Nikola Kapetanovic</cp:lastModifiedBy>
  <dcterms:modified xsi:type="dcterms:W3CDTF">2020-01-10T11:45:35Z</dcterms:modified>
  <cp:revision>4</cp:revision>
  <dc:title>Republic of Serbia</dc:title>
</cp:coreProperties>
</file>